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C4" w:rsidRPr="001D50C4" w:rsidRDefault="00AD2CAA" w:rsidP="00A779D3">
      <w:pPr>
        <w:spacing w:beforeLines="50" w:before="180" w:afterLines="50" w:after="180" w:line="420" w:lineRule="exact"/>
        <w:jc w:val="both"/>
        <w:rPr>
          <w:rFonts w:ascii="標楷體" w:eastAsia="標楷體" w:hAnsi="標楷體"/>
          <w:b/>
          <w:sz w:val="28"/>
          <w:szCs w:val="28"/>
        </w:rPr>
      </w:pPr>
      <w:r w:rsidRPr="001D50C4">
        <w:rPr>
          <w:rFonts w:ascii="標楷體" w:eastAsia="標楷體" w:hAnsi="標楷體"/>
          <w:b/>
          <w:sz w:val="28"/>
          <w:szCs w:val="28"/>
        </w:rPr>
        <w:t>2018.0</w:t>
      </w:r>
      <w:r w:rsidRPr="001D50C4">
        <w:rPr>
          <w:rFonts w:ascii="標楷體" w:eastAsia="標楷體" w:hAnsi="標楷體" w:hint="eastAsia"/>
          <w:b/>
          <w:sz w:val="28"/>
          <w:szCs w:val="28"/>
        </w:rPr>
        <w:t>7</w:t>
      </w:r>
      <w:r w:rsidRPr="001D50C4">
        <w:rPr>
          <w:rFonts w:ascii="標楷體" w:eastAsia="標楷體" w:hAnsi="標楷體"/>
          <w:b/>
          <w:sz w:val="28"/>
          <w:szCs w:val="28"/>
        </w:rPr>
        <w:t>.</w:t>
      </w:r>
      <w:r w:rsidRPr="001D50C4">
        <w:rPr>
          <w:rFonts w:ascii="標楷體" w:eastAsia="標楷體" w:hAnsi="標楷體" w:hint="eastAsia"/>
          <w:b/>
          <w:sz w:val="28"/>
          <w:szCs w:val="28"/>
        </w:rPr>
        <w:t>23司改向前走：司法改革地方意見交流座談會（台中場）</w:t>
      </w:r>
    </w:p>
    <w:p w:rsidR="00AD2CAA" w:rsidRPr="001D50C4" w:rsidRDefault="00AD2CAA" w:rsidP="001D50C4">
      <w:pPr>
        <w:spacing w:beforeLines="50" w:before="180" w:afterLines="50" w:after="180" w:line="420" w:lineRule="exact"/>
        <w:jc w:val="center"/>
        <w:rPr>
          <w:rFonts w:ascii="標楷體" w:eastAsia="標楷體" w:hAnsi="標楷體"/>
          <w:b/>
          <w:sz w:val="28"/>
          <w:szCs w:val="28"/>
        </w:rPr>
      </w:pPr>
      <w:r w:rsidRPr="001D50C4">
        <w:rPr>
          <w:rFonts w:ascii="標楷體" w:eastAsia="標楷體" w:hAnsi="標楷體" w:hint="eastAsia"/>
          <w:b/>
          <w:sz w:val="28"/>
          <w:szCs w:val="28"/>
        </w:rPr>
        <w:t>會後新聞稿</w:t>
      </w:r>
    </w:p>
    <w:p w:rsidR="00A779D3" w:rsidRDefault="00AD2CAA" w:rsidP="00A779D3">
      <w:pPr>
        <w:spacing w:beforeLines="50" w:before="180" w:afterLines="50" w:after="180" w:line="420" w:lineRule="exact"/>
        <w:ind w:firstLineChars="200" w:firstLine="560"/>
        <w:jc w:val="both"/>
        <w:rPr>
          <w:rFonts w:ascii="標楷體" w:eastAsia="標楷體" w:hAnsi="標楷體"/>
          <w:kern w:val="0"/>
          <w:sz w:val="28"/>
          <w:szCs w:val="36"/>
        </w:rPr>
      </w:pPr>
      <w:r>
        <w:rPr>
          <w:rFonts w:ascii="標楷體" w:eastAsia="標楷體" w:hAnsi="標楷體" w:hint="eastAsia"/>
          <w:kern w:val="0"/>
          <w:sz w:val="28"/>
          <w:szCs w:val="36"/>
        </w:rPr>
        <w:t>司法院、行政院、法務部於107年7月23日聯合舉辦「司改向前走：司法改革地方意見交流座談會」</w:t>
      </w:r>
      <w:r w:rsidR="00A779D3">
        <w:rPr>
          <w:rFonts w:ascii="標楷體" w:eastAsia="標楷體" w:hAnsi="標楷體" w:hint="eastAsia"/>
          <w:kern w:val="0"/>
          <w:sz w:val="28"/>
          <w:szCs w:val="36"/>
        </w:rPr>
        <w:t>（台中</w:t>
      </w:r>
      <w:r>
        <w:rPr>
          <w:rFonts w:ascii="標楷體" w:eastAsia="標楷體" w:hAnsi="標楷體" w:hint="eastAsia"/>
          <w:kern w:val="0"/>
          <w:sz w:val="28"/>
          <w:szCs w:val="36"/>
        </w:rPr>
        <w:t>場），由司法院呂太郎秘書長、行政院羅秉成政務委員、法務部</w:t>
      </w:r>
      <w:r w:rsidR="003E0F1C">
        <w:rPr>
          <w:rFonts w:ascii="標楷體" w:eastAsia="標楷體" w:hAnsi="標楷體" w:hint="eastAsia"/>
          <w:kern w:val="0"/>
          <w:sz w:val="28"/>
          <w:szCs w:val="36"/>
        </w:rPr>
        <w:t>陳明堂政務次長</w:t>
      </w:r>
      <w:r>
        <w:rPr>
          <w:rFonts w:ascii="標楷體" w:eastAsia="標楷體" w:hAnsi="標楷體" w:hint="eastAsia"/>
          <w:kern w:val="0"/>
          <w:sz w:val="28"/>
          <w:szCs w:val="36"/>
        </w:rPr>
        <w:t>共同主持，向各團體代表說明司法改革國是會議後政府的改革作為。</w:t>
      </w:r>
    </w:p>
    <w:p w:rsidR="00042682" w:rsidRPr="001D50C4" w:rsidRDefault="001D50C4" w:rsidP="003927FD">
      <w:pPr>
        <w:spacing w:beforeLines="50" w:before="180" w:afterLines="50" w:after="180" w:line="420" w:lineRule="exact"/>
        <w:ind w:firstLineChars="200" w:firstLine="560"/>
        <w:jc w:val="both"/>
        <w:rPr>
          <w:rFonts w:ascii="標楷體" w:eastAsia="標楷體" w:hAnsi="標楷體"/>
          <w:color w:val="000000" w:themeColor="text1"/>
          <w:kern w:val="0"/>
          <w:sz w:val="28"/>
          <w:szCs w:val="36"/>
        </w:rPr>
      </w:pPr>
      <w:r w:rsidRPr="001D50C4">
        <w:rPr>
          <w:rFonts w:ascii="標楷體" w:eastAsia="標楷體" w:hAnsi="標楷體" w:hint="eastAsia"/>
          <w:color w:val="000000" w:themeColor="text1"/>
          <w:kern w:val="0"/>
          <w:sz w:val="28"/>
          <w:szCs w:val="36"/>
        </w:rPr>
        <w:t>行政院羅秉成政務委員</w:t>
      </w:r>
      <w:r w:rsidR="003927FD" w:rsidRPr="001D50C4">
        <w:rPr>
          <w:rFonts w:ascii="標楷體" w:eastAsia="標楷體" w:hAnsi="標楷體" w:hint="eastAsia"/>
          <w:color w:val="000000" w:themeColor="text1"/>
          <w:kern w:val="0"/>
          <w:sz w:val="28"/>
          <w:szCs w:val="36"/>
        </w:rPr>
        <w:t>表示，</w:t>
      </w:r>
      <w:r w:rsidRPr="001D50C4">
        <w:rPr>
          <w:rFonts w:ascii="標楷體" w:eastAsia="標楷體" w:hAnsi="標楷體" w:hint="eastAsia"/>
          <w:color w:val="000000" w:themeColor="text1"/>
          <w:kern w:val="0"/>
          <w:sz w:val="28"/>
          <w:szCs w:val="36"/>
        </w:rPr>
        <w:t>與社會溝通對話，對於司法改革的走向無比重要。</w:t>
      </w:r>
      <w:r w:rsidR="00042682" w:rsidRPr="001D50C4">
        <w:rPr>
          <w:rFonts w:ascii="標楷體" w:eastAsia="標楷體" w:hAnsi="標楷體" w:hint="eastAsia"/>
          <w:color w:val="000000" w:themeColor="text1"/>
          <w:kern w:val="0"/>
          <w:sz w:val="28"/>
          <w:szCs w:val="36"/>
        </w:rPr>
        <w:t>從去（106）年8月12</w:t>
      </w:r>
      <w:r w:rsidRPr="001D50C4">
        <w:rPr>
          <w:rFonts w:ascii="標楷體" w:eastAsia="標楷體" w:hAnsi="標楷體" w:hint="eastAsia"/>
          <w:color w:val="000000" w:themeColor="text1"/>
          <w:kern w:val="0"/>
          <w:sz w:val="28"/>
          <w:szCs w:val="36"/>
        </w:rPr>
        <w:t>日</w:t>
      </w:r>
      <w:r w:rsidR="00042682" w:rsidRPr="001D50C4">
        <w:rPr>
          <w:rFonts w:ascii="標楷體" w:eastAsia="標楷體" w:hAnsi="標楷體" w:hint="eastAsia"/>
          <w:color w:val="000000" w:themeColor="text1"/>
          <w:kern w:val="0"/>
          <w:sz w:val="28"/>
          <w:szCs w:val="36"/>
        </w:rPr>
        <w:t>至今，</w:t>
      </w:r>
      <w:r w:rsidRPr="001D50C4">
        <w:rPr>
          <w:rFonts w:ascii="標楷體" w:eastAsia="標楷體" w:hAnsi="標楷體" w:hint="eastAsia"/>
          <w:color w:val="000000" w:themeColor="text1"/>
          <w:kern w:val="0"/>
          <w:sz w:val="28"/>
          <w:szCs w:val="36"/>
        </w:rPr>
        <w:t>司法改革國是會議</w:t>
      </w:r>
      <w:r w:rsidR="00042682" w:rsidRPr="001D50C4">
        <w:rPr>
          <w:rFonts w:ascii="標楷體" w:eastAsia="標楷體" w:hAnsi="標楷體" w:hint="eastAsia"/>
          <w:color w:val="000000" w:themeColor="text1"/>
          <w:kern w:val="0"/>
          <w:sz w:val="28"/>
          <w:szCs w:val="36"/>
        </w:rPr>
        <w:t>很快要滿一年</w:t>
      </w:r>
      <w:bookmarkStart w:id="0" w:name="_GoBack"/>
      <w:bookmarkEnd w:id="0"/>
      <w:r w:rsidR="00042682" w:rsidRPr="001D50C4">
        <w:rPr>
          <w:rFonts w:ascii="標楷體" w:eastAsia="標楷體" w:hAnsi="標楷體" w:hint="eastAsia"/>
          <w:color w:val="000000" w:themeColor="text1"/>
          <w:kern w:val="0"/>
          <w:sz w:val="28"/>
          <w:szCs w:val="36"/>
        </w:rPr>
        <w:t>了。</w:t>
      </w:r>
      <w:r w:rsidRPr="001D50C4">
        <w:rPr>
          <w:rFonts w:ascii="標楷體" w:eastAsia="標楷體" w:hAnsi="標楷體" w:hint="eastAsia"/>
          <w:color w:val="000000" w:themeColor="text1"/>
          <w:kern w:val="0"/>
          <w:sz w:val="28"/>
          <w:szCs w:val="36"/>
        </w:rPr>
        <w:t>之前在臺北，</w:t>
      </w:r>
      <w:r w:rsidR="007F40CD">
        <w:rPr>
          <w:rFonts w:ascii="標楷體" w:eastAsia="標楷體" w:hAnsi="標楷體" w:hint="eastAsia"/>
          <w:color w:val="000000" w:themeColor="text1"/>
          <w:kern w:val="0"/>
          <w:sz w:val="28"/>
          <w:szCs w:val="36"/>
        </w:rPr>
        <w:t>我們針對各個特定的團體舉辦了三場司改議題交流座談會。</w:t>
      </w:r>
      <w:r w:rsidRPr="001D50C4">
        <w:rPr>
          <w:rFonts w:ascii="標楷體" w:eastAsia="標楷體" w:hAnsi="標楷體" w:hint="eastAsia"/>
          <w:color w:val="000000" w:themeColor="text1"/>
          <w:kern w:val="0"/>
          <w:sz w:val="28"/>
          <w:szCs w:val="36"/>
        </w:rPr>
        <w:t>接下來我們</w:t>
      </w:r>
      <w:r w:rsidR="00987C59">
        <w:rPr>
          <w:rFonts w:ascii="標楷體" w:eastAsia="標楷體" w:hAnsi="標楷體" w:hint="eastAsia"/>
          <w:color w:val="000000" w:themeColor="text1"/>
          <w:kern w:val="0"/>
          <w:sz w:val="28"/>
          <w:szCs w:val="36"/>
        </w:rPr>
        <w:t>走</w:t>
      </w:r>
      <w:r w:rsidR="007F40CD">
        <w:rPr>
          <w:rFonts w:ascii="標楷體" w:eastAsia="標楷體" w:hAnsi="標楷體" w:hint="eastAsia"/>
          <w:color w:val="000000" w:themeColor="text1"/>
          <w:kern w:val="0"/>
          <w:sz w:val="28"/>
          <w:szCs w:val="36"/>
        </w:rPr>
        <w:t>入地方</w:t>
      </w:r>
      <w:r w:rsidR="00987C59">
        <w:rPr>
          <w:rFonts w:ascii="標楷體" w:eastAsia="標楷體" w:hAnsi="標楷體" w:hint="eastAsia"/>
          <w:color w:val="000000" w:themeColor="text1"/>
          <w:kern w:val="0"/>
          <w:sz w:val="28"/>
          <w:szCs w:val="36"/>
        </w:rPr>
        <w:t>，首站</w:t>
      </w:r>
      <w:r w:rsidRPr="001D50C4">
        <w:rPr>
          <w:rFonts w:ascii="標楷體" w:eastAsia="標楷體" w:hAnsi="標楷體" w:hint="eastAsia"/>
          <w:color w:val="000000" w:themeColor="text1"/>
          <w:kern w:val="0"/>
          <w:sz w:val="28"/>
          <w:szCs w:val="36"/>
        </w:rPr>
        <w:t>來到台中，說明司改國是會議的決議事項</w:t>
      </w:r>
      <w:r w:rsidR="00987C59">
        <w:rPr>
          <w:rFonts w:ascii="標楷體" w:eastAsia="標楷體" w:hAnsi="標楷體" w:hint="eastAsia"/>
          <w:color w:val="000000" w:themeColor="text1"/>
          <w:kern w:val="0"/>
          <w:sz w:val="28"/>
          <w:szCs w:val="36"/>
        </w:rPr>
        <w:t>，</w:t>
      </w:r>
      <w:r w:rsidRPr="001D50C4">
        <w:rPr>
          <w:rFonts w:ascii="標楷體" w:eastAsia="標楷體" w:hAnsi="標楷體" w:hint="eastAsia"/>
          <w:color w:val="000000" w:themeColor="text1"/>
          <w:kern w:val="0"/>
          <w:sz w:val="28"/>
          <w:szCs w:val="36"/>
        </w:rPr>
        <w:t>聽取地方各界人士對於司改議題的意見。</w:t>
      </w:r>
    </w:p>
    <w:p w:rsidR="001D4449" w:rsidRPr="001D50C4" w:rsidRDefault="001D50C4" w:rsidP="003927FD">
      <w:pPr>
        <w:spacing w:beforeLines="50" w:before="180" w:afterLines="50" w:after="180" w:line="420" w:lineRule="exact"/>
        <w:ind w:firstLineChars="200" w:firstLine="560"/>
        <w:jc w:val="both"/>
        <w:rPr>
          <w:rFonts w:ascii="標楷體" w:eastAsia="標楷體" w:hAnsi="標楷體"/>
          <w:color w:val="000000" w:themeColor="text1"/>
          <w:kern w:val="0"/>
          <w:sz w:val="28"/>
          <w:szCs w:val="36"/>
        </w:rPr>
      </w:pPr>
      <w:r w:rsidRPr="001D50C4">
        <w:rPr>
          <w:rFonts w:ascii="標楷體" w:eastAsia="標楷體" w:hAnsi="標楷體" w:hint="eastAsia"/>
          <w:color w:val="000000" w:themeColor="text1"/>
          <w:kern w:val="0"/>
          <w:sz w:val="28"/>
          <w:szCs w:val="36"/>
        </w:rPr>
        <w:t>羅政委在簡報時接著說明，</w:t>
      </w:r>
      <w:r w:rsidR="003927FD" w:rsidRPr="001D50C4">
        <w:rPr>
          <w:rFonts w:ascii="標楷體" w:eastAsia="標楷體" w:hAnsi="標楷體" w:hint="eastAsia"/>
          <w:color w:val="000000" w:themeColor="text1"/>
          <w:kern w:val="0"/>
          <w:sz w:val="28"/>
          <w:szCs w:val="36"/>
        </w:rPr>
        <w:t>這次的司法改革國是會議有兩個特色，ㄧ是由總統的政治高度來召開國是會議，才能協調許多跨院的改革工程；二是由非法律人與法律人一起來面對司法的問題，解決司法的問題。羅政委特別強調，司法改革不能只靠官方的力量，往後的推動落實，還需要仰賴社會各界司改作伙鬥陣打拼，司法改革才會成功。</w:t>
      </w:r>
    </w:p>
    <w:p w:rsidR="00AD2CAA" w:rsidRPr="001D50C4" w:rsidRDefault="00AD2CAA" w:rsidP="00A779D3">
      <w:pPr>
        <w:spacing w:beforeLines="50" w:before="180" w:afterLines="50" w:after="180" w:line="420" w:lineRule="exact"/>
        <w:ind w:firstLineChars="200" w:firstLine="560"/>
        <w:jc w:val="both"/>
        <w:rPr>
          <w:rFonts w:ascii="標楷體" w:eastAsia="標楷體" w:hAnsi="標楷體"/>
          <w:color w:val="000000" w:themeColor="text1"/>
          <w:kern w:val="0"/>
          <w:sz w:val="28"/>
          <w:szCs w:val="36"/>
        </w:rPr>
      </w:pPr>
      <w:r w:rsidRPr="001D50C4">
        <w:rPr>
          <w:rFonts w:ascii="標楷體" w:eastAsia="標楷體" w:hAnsi="標楷體" w:hint="eastAsia"/>
          <w:color w:val="000000" w:themeColor="text1"/>
          <w:kern w:val="0"/>
          <w:sz w:val="28"/>
          <w:szCs w:val="36"/>
        </w:rPr>
        <w:t>司法院呂太郎秘書長表示，這次司法改革所有議題的共同定位在於，要從人民的觀點出發。所以，我們推動金字塔訴訟制度，是為了讓</w:t>
      </w:r>
      <w:r w:rsidRPr="001D50C4">
        <w:rPr>
          <w:rFonts w:ascii="標楷體" w:eastAsia="標楷體" w:hAnsi="標楷體" w:hint="eastAsia"/>
          <w:color w:val="000000" w:themeColor="text1"/>
          <w:sz w:val="28"/>
          <w:szCs w:val="32"/>
        </w:rPr>
        <w:t>一般的民事、刑事判決能夠專業、迅速，具備可預測性，以保障當事人的權利；我們推動</w:t>
      </w:r>
      <w:r w:rsidRPr="001D50C4">
        <w:rPr>
          <w:rFonts w:ascii="標楷體" w:eastAsia="標楷體" w:hAnsi="標楷體" w:hint="eastAsia"/>
          <w:color w:val="000000" w:themeColor="text1"/>
          <w:kern w:val="0"/>
          <w:sz w:val="28"/>
          <w:szCs w:val="36"/>
        </w:rPr>
        <w:t>國民參與刑事審判制度（國民法官制度），希望透過司法與人民進行多元、深度的對話，讓司法與人民之間的距離逐漸縮小。</w:t>
      </w:r>
    </w:p>
    <w:p w:rsidR="001D4449" w:rsidRPr="001D50C4" w:rsidRDefault="001D4449" w:rsidP="00173FFE">
      <w:pPr>
        <w:spacing w:beforeLines="50" w:before="180" w:afterLines="50" w:after="180" w:line="420" w:lineRule="exact"/>
        <w:ind w:firstLineChars="200" w:firstLine="560"/>
        <w:jc w:val="both"/>
        <w:rPr>
          <w:rFonts w:ascii="標楷體" w:eastAsia="標楷體" w:hAnsi="標楷體"/>
          <w:color w:val="000000" w:themeColor="text1"/>
          <w:kern w:val="0"/>
          <w:sz w:val="28"/>
          <w:szCs w:val="24"/>
        </w:rPr>
      </w:pPr>
      <w:r w:rsidRPr="001D50C4">
        <w:rPr>
          <w:rFonts w:ascii="標楷體" w:eastAsia="標楷體" w:hAnsi="標楷體" w:hint="eastAsia"/>
          <w:color w:val="000000" w:themeColor="text1"/>
          <w:kern w:val="0"/>
          <w:sz w:val="28"/>
          <w:szCs w:val="24"/>
        </w:rPr>
        <w:t>法務部陳明堂政務次長在致詞時表示，傾聽人民的聲音，是這ㄧ次司法改革國是會議最重要的目標，司法改革不侷限於司法院及法務部之間，才能具體回應人民的需求，</w:t>
      </w:r>
      <w:r w:rsidRPr="001D50C4">
        <w:rPr>
          <w:rFonts w:ascii="標楷體" w:eastAsia="標楷體" w:hAnsi="標楷體" w:hint="eastAsia"/>
          <w:color w:val="000000" w:themeColor="text1"/>
          <w:sz w:val="28"/>
          <w:szCs w:val="24"/>
        </w:rPr>
        <w:t>本部推動司法改革迄今，已展現出的具體成果</w:t>
      </w:r>
      <w:r w:rsidR="00130901" w:rsidRPr="001D50C4">
        <w:rPr>
          <w:rFonts w:ascii="標楷體" w:eastAsia="標楷體" w:hAnsi="標楷體" w:hint="eastAsia"/>
          <w:color w:val="000000" w:themeColor="text1"/>
          <w:sz w:val="28"/>
          <w:szCs w:val="24"/>
        </w:rPr>
        <w:t>，</w:t>
      </w:r>
      <w:r w:rsidRPr="001D50C4">
        <w:rPr>
          <w:rFonts w:ascii="標楷體" w:eastAsia="標楷體" w:hAnsi="標楷體" w:hint="eastAsia"/>
          <w:color w:val="000000" w:themeColor="text1"/>
          <w:sz w:val="28"/>
          <w:szCs w:val="24"/>
        </w:rPr>
        <w:t>我們</w:t>
      </w:r>
      <w:r w:rsidR="00337201" w:rsidRPr="001D50C4">
        <w:rPr>
          <w:rFonts w:ascii="標楷體" w:eastAsia="標楷體" w:hAnsi="標楷體" w:hint="eastAsia"/>
          <w:color w:val="000000" w:themeColor="text1"/>
          <w:sz w:val="28"/>
          <w:szCs w:val="24"/>
        </w:rPr>
        <w:t>將</w:t>
      </w:r>
      <w:r w:rsidRPr="001D50C4">
        <w:rPr>
          <w:rFonts w:ascii="標楷體" w:eastAsia="標楷體" w:hAnsi="標楷體" w:hint="eastAsia"/>
          <w:color w:val="000000" w:themeColor="text1"/>
          <w:sz w:val="28"/>
          <w:szCs w:val="24"/>
        </w:rPr>
        <w:t>加快腳步，積極推動後續司改，將在今年8月7日對外公布</w:t>
      </w:r>
      <w:r w:rsidR="001D50C4">
        <w:rPr>
          <w:rFonts w:ascii="標楷體" w:eastAsia="標楷體" w:hAnsi="標楷體" w:hint="eastAsia"/>
          <w:color w:val="000000" w:themeColor="text1"/>
          <w:sz w:val="28"/>
          <w:szCs w:val="24"/>
        </w:rPr>
        <w:t>司法改革</w:t>
      </w:r>
      <w:r w:rsidRPr="001D50C4">
        <w:rPr>
          <w:rFonts w:ascii="標楷體" w:eastAsia="標楷體" w:hAnsi="標楷體" w:hint="eastAsia"/>
          <w:color w:val="000000" w:themeColor="text1"/>
          <w:sz w:val="28"/>
          <w:szCs w:val="24"/>
        </w:rPr>
        <w:t>第</w:t>
      </w:r>
      <w:r w:rsidR="001D50C4">
        <w:rPr>
          <w:rFonts w:ascii="標楷體" w:eastAsia="標楷體" w:hAnsi="標楷體" w:hint="eastAsia"/>
          <w:color w:val="000000" w:themeColor="text1"/>
          <w:sz w:val="28"/>
          <w:szCs w:val="24"/>
        </w:rPr>
        <w:t>二</w:t>
      </w:r>
      <w:r w:rsidRPr="001D50C4">
        <w:rPr>
          <w:rFonts w:ascii="標楷體" w:eastAsia="標楷體" w:hAnsi="標楷體" w:hint="eastAsia"/>
          <w:color w:val="000000" w:themeColor="text1"/>
          <w:sz w:val="28"/>
          <w:szCs w:val="24"/>
        </w:rPr>
        <w:t>次進度報告。</w:t>
      </w:r>
    </w:p>
    <w:p w:rsidR="00AD2CAA" w:rsidRDefault="00AD2CAA" w:rsidP="00A779D3">
      <w:pPr>
        <w:spacing w:beforeLines="50" w:before="180" w:afterLines="50" w:after="180" w:line="420" w:lineRule="exact"/>
        <w:ind w:firstLine="480"/>
        <w:jc w:val="both"/>
        <w:rPr>
          <w:rFonts w:ascii="標楷體" w:eastAsia="標楷體" w:hAnsi="標楷體"/>
          <w:kern w:val="0"/>
          <w:sz w:val="28"/>
          <w:szCs w:val="36"/>
        </w:rPr>
      </w:pPr>
      <w:r>
        <w:rPr>
          <w:rFonts w:ascii="標楷體" w:eastAsia="標楷體" w:hAnsi="標楷體" w:hint="eastAsia"/>
          <w:kern w:val="0"/>
          <w:sz w:val="28"/>
          <w:szCs w:val="36"/>
        </w:rPr>
        <w:t>會中進行了數回的對話與交流，與會代表提出了各項議題，主持人也分別及時回應，座談會歷時三個小時，於</w:t>
      </w:r>
      <w:r w:rsidR="001D50C4">
        <w:rPr>
          <w:rFonts w:ascii="標楷體" w:eastAsia="標楷體" w:hAnsi="標楷體" w:hint="eastAsia"/>
          <w:kern w:val="0"/>
          <w:sz w:val="28"/>
          <w:szCs w:val="36"/>
        </w:rPr>
        <w:t>下午</w:t>
      </w:r>
      <w:r w:rsidR="00A779D3" w:rsidRPr="001D50C4">
        <w:rPr>
          <w:rFonts w:ascii="標楷體" w:eastAsia="標楷體" w:hAnsi="標楷體" w:hint="eastAsia"/>
          <w:color w:val="000000" w:themeColor="text1"/>
          <w:kern w:val="0"/>
          <w:sz w:val="28"/>
          <w:szCs w:val="36"/>
        </w:rPr>
        <w:t>5</w:t>
      </w:r>
      <w:r w:rsidRPr="001D50C4">
        <w:rPr>
          <w:rFonts w:ascii="標楷體" w:eastAsia="標楷體" w:hAnsi="標楷體" w:hint="eastAsia"/>
          <w:color w:val="000000" w:themeColor="text1"/>
          <w:kern w:val="0"/>
          <w:sz w:val="28"/>
          <w:szCs w:val="36"/>
        </w:rPr>
        <w:t>時</w:t>
      </w:r>
      <w:r>
        <w:rPr>
          <w:rFonts w:ascii="標楷體" w:eastAsia="標楷體" w:hAnsi="標楷體" w:hint="eastAsia"/>
          <w:kern w:val="0"/>
          <w:sz w:val="28"/>
          <w:szCs w:val="36"/>
        </w:rPr>
        <w:t>圓滿結束。</w:t>
      </w:r>
    </w:p>
    <w:p w:rsidR="00AD2CAA" w:rsidRPr="00A27E52" w:rsidRDefault="00306F4B" w:rsidP="00A779D3">
      <w:pPr>
        <w:spacing w:beforeLines="50" w:before="180" w:afterLines="50" w:after="180" w:line="480" w:lineRule="exact"/>
        <w:jc w:val="both"/>
        <w:rPr>
          <w:rFonts w:ascii="標楷體" w:eastAsia="標楷體" w:hAnsi="標楷體"/>
          <w:b/>
          <w:sz w:val="28"/>
          <w:szCs w:val="28"/>
        </w:rPr>
      </w:pPr>
      <w:r w:rsidRPr="00A27E52">
        <w:rPr>
          <w:rFonts w:ascii="標楷體" w:eastAsia="標楷體" w:hAnsi="標楷體" w:hint="eastAsia"/>
          <w:b/>
          <w:sz w:val="28"/>
          <w:szCs w:val="28"/>
        </w:rPr>
        <w:lastRenderedPageBreak/>
        <w:t>附錄：</w:t>
      </w:r>
      <w:r w:rsidR="001D50C4">
        <w:rPr>
          <w:rFonts w:ascii="標楷體" w:eastAsia="標楷體" w:hAnsi="標楷體" w:hint="eastAsia"/>
          <w:b/>
          <w:sz w:val="28"/>
          <w:szCs w:val="28"/>
        </w:rPr>
        <w:t>座談會簡報議題簡介</w:t>
      </w:r>
    </w:p>
    <w:p w:rsidR="00306F4B" w:rsidRPr="00A27E52" w:rsidRDefault="00306F4B" w:rsidP="00A779D3">
      <w:pPr>
        <w:spacing w:beforeLines="50" w:before="180" w:afterLines="50" w:after="180" w:line="480" w:lineRule="exact"/>
        <w:jc w:val="both"/>
        <w:rPr>
          <w:rFonts w:ascii="標楷體" w:eastAsia="標楷體" w:hAnsi="標楷體"/>
          <w:b/>
          <w:sz w:val="28"/>
          <w:szCs w:val="28"/>
        </w:rPr>
      </w:pPr>
      <w:r w:rsidRPr="00A27E52">
        <w:rPr>
          <w:rFonts w:ascii="標楷體" w:eastAsia="標楷體" w:hAnsi="標楷體" w:hint="eastAsia"/>
          <w:b/>
          <w:sz w:val="28"/>
          <w:szCs w:val="28"/>
        </w:rPr>
        <w:t>壹、國民參與刑事審判制度（國民法官）</w:t>
      </w:r>
    </w:p>
    <w:p w:rsidR="00306F4B" w:rsidRPr="006D4EBA" w:rsidRDefault="00306F4B" w:rsidP="00A779D3">
      <w:pPr>
        <w:spacing w:line="480" w:lineRule="exact"/>
        <w:ind w:firstLine="480"/>
        <w:jc w:val="both"/>
        <w:rPr>
          <w:rFonts w:ascii="標楷體" w:eastAsia="標楷體" w:hAnsi="標楷體"/>
          <w:sz w:val="28"/>
        </w:rPr>
      </w:pPr>
      <w:r w:rsidRPr="006D4EBA">
        <w:rPr>
          <w:rFonts w:ascii="標楷體" w:eastAsia="標楷體" w:hAnsi="標楷體" w:hint="eastAsia"/>
          <w:sz w:val="28"/>
        </w:rPr>
        <w:t>針對國民參與刑事審判法草案之理念及基本架構進行報告，包含問題意識、制度模式的介紹、國民參與審判之目的、司法院國民參與刑事審判法草案之七大重點、國民法官之選任、資格、職權、義務與保護、審判流程等事項。讓與會人士可以了解國民參與審判制度之概況。</w:t>
      </w:r>
    </w:p>
    <w:p w:rsidR="00306F4B" w:rsidRPr="006D4EBA" w:rsidRDefault="00306F4B" w:rsidP="00A779D3">
      <w:pPr>
        <w:spacing w:line="480" w:lineRule="exact"/>
        <w:ind w:firstLine="480"/>
        <w:jc w:val="both"/>
        <w:rPr>
          <w:rFonts w:ascii="標楷體" w:eastAsia="標楷體" w:hAnsi="標楷體"/>
          <w:sz w:val="28"/>
        </w:rPr>
      </w:pPr>
      <w:r w:rsidRPr="006D4EBA">
        <w:rPr>
          <w:rFonts w:ascii="標楷體" w:eastAsia="標楷體" w:hAnsi="標楷體" w:hint="eastAsia"/>
          <w:sz w:val="28"/>
        </w:rPr>
        <w:t>國民法官是由年滿</w:t>
      </w:r>
      <w:r w:rsidRPr="006D4EBA">
        <w:rPr>
          <w:rFonts w:ascii="標楷體" w:eastAsia="標楷體" w:hAnsi="標楷體"/>
          <w:sz w:val="28"/>
        </w:rPr>
        <w:t>23</w:t>
      </w:r>
      <w:r w:rsidRPr="006D4EBA">
        <w:rPr>
          <w:rFonts w:ascii="標楷體" w:eastAsia="標楷體" w:hAnsi="標楷體" w:hint="eastAsia"/>
          <w:sz w:val="28"/>
        </w:rPr>
        <w:t>歲，並在轄區內連續居住四個月以上之國民中抽選，再由法院審查有無消極資格，也就是說，因自身因素（例如：前科、人身自由受拘束等）、身心因素（例如：受監護宣告）、職業因素（例如：民意代表、司法人員等）、無法執行職務（例如：不會聽說國語）、與本案有相關以及有不能公平審判之人，則不能擔任國民法官。經審查後符合資格之民眾，若具有法定事由者，得向法院聲請拒絕擔任國民法官，例如年滿</w:t>
      </w:r>
      <w:r w:rsidRPr="006D4EBA">
        <w:rPr>
          <w:rFonts w:ascii="標楷體" w:eastAsia="標楷體" w:hAnsi="標楷體"/>
          <w:sz w:val="28"/>
        </w:rPr>
        <w:t>70</w:t>
      </w:r>
      <w:r w:rsidRPr="006D4EBA">
        <w:rPr>
          <w:rFonts w:ascii="標楷體" w:eastAsia="標楷體" w:hAnsi="標楷體" w:hint="eastAsia"/>
          <w:sz w:val="28"/>
        </w:rPr>
        <w:t>歲以上或學校老師、在校學生等均是。再者，國民法官之個人資料都會嚴加保密，對國民法官、備位國民法官，公司必須給予公假（但得不給薪），法院也會另行給付相當之日旅費。</w:t>
      </w:r>
    </w:p>
    <w:p w:rsidR="00306F4B" w:rsidRPr="006D4EBA" w:rsidRDefault="00306F4B" w:rsidP="00A779D3">
      <w:pPr>
        <w:spacing w:line="480" w:lineRule="exact"/>
        <w:ind w:firstLine="480"/>
        <w:jc w:val="both"/>
        <w:rPr>
          <w:rFonts w:ascii="標楷體" w:eastAsia="標楷體" w:hAnsi="標楷體"/>
          <w:sz w:val="28"/>
        </w:rPr>
      </w:pPr>
      <w:r w:rsidRPr="006D4EBA">
        <w:rPr>
          <w:rFonts w:ascii="標楷體" w:eastAsia="標楷體" w:hAnsi="標楷體" w:hint="eastAsia"/>
          <w:sz w:val="28"/>
        </w:rPr>
        <w:t>國民法官可以跟法官一同坐在法檯上，全程參與審判程序之進行，審理中有問題可以跟法官進行中間討論，也可以直接或間接訊問證人或被告等人。最後會與法官一起決定有沒有罪，及有罪時決定應判多重。</w:t>
      </w:r>
    </w:p>
    <w:p w:rsidR="00306F4B" w:rsidRPr="006D4EBA" w:rsidRDefault="00306F4B" w:rsidP="00A779D3">
      <w:pPr>
        <w:spacing w:line="480" w:lineRule="exact"/>
        <w:ind w:firstLine="480"/>
        <w:jc w:val="both"/>
        <w:rPr>
          <w:rFonts w:ascii="標楷體" w:eastAsia="標楷體" w:hAnsi="標楷體"/>
          <w:sz w:val="28"/>
        </w:rPr>
      </w:pPr>
      <w:r w:rsidRPr="006D4EBA">
        <w:rPr>
          <w:rFonts w:ascii="標楷體" w:eastAsia="標楷體" w:hAnsi="標楷體" w:hint="eastAsia"/>
          <w:sz w:val="28"/>
        </w:rPr>
        <w:t>為使國民法官迅速掌握審理內容，國民參與刑事審判法草案另設「審前說明」、「開審陳述」等程序，審理過程會使用簡明易懂的白話方式進行，證據也改由聲請調查之人主動提示，使國民法官和法官得保持中立，判斷事實。從以上可知，國民參與審判制度，是為了讓國民健全法律感情融入審判過程，也讓司法專業納入來自民眾的多元價值觀，以提升司法之透明度及判決結果的妥當性，最終贏得民眾對司法的信任。</w:t>
      </w:r>
    </w:p>
    <w:p w:rsidR="00306F4B" w:rsidRDefault="00306F4B" w:rsidP="00A779D3">
      <w:pPr>
        <w:spacing w:beforeLines="50" w:before="180" w:afterLines="50" w:after="180" w:line="480" w:lineRule="exact"/>
        <w:jc w:val="both"/>
        <w:rPr>
          <w:rFonts w:ascii="標楷體" w:eastAsia="標楷體" w:hAnsi="標楷體" w:cs="Arial"/>
          <w:b/>
          <w:bCs/>
          <w:color w:val="000000"/>
          <w:kern w:val="36"/>
          <w:sz w:val="28"/>
          <w:szCs w:val="28"/>
        </w:rPr>
      </w:pPr>
      <w:r w:rsidRPr="00A27E52">
        <w:rPr>
          <w:rFonts w:ascii="標楷體" w:eastAsia="標楷體" w:hAnsi="標楷體" w:hint="eastAsia"/>
          <w:b/>
          <w:sz w:val="28"/>
          <w:szCs w:val="28"/>
        </w:rPr>
        <w:lastRenderedPageBreak/>
        <w:t>貳、</w:t>
      </w:r>
      <w:r>
        <w:rPr>
          <w:rFonts w:ascii="標楷體" w:eastAsia="標楷體" w:hAnsi="標楷體" w:cs="Arial" w:hint="eastAsia"/>
          <w:b/>
          <w:bCs/>
          <w:color w:val="000000"/>
          <w:kern w:val="36"/>
          <w:sz w:val="28"/>
          <w:szCs w:val="28"/>
        </w:rPr>
        <w:t>金字塔訴訟制度</w:t>
      </w:r>
    </w:p>
    <w:p w:rsidR="00306F4B" w:rsidRPr="00306F4B" w:rsidRDefault="00306F4B" w:rsidP="00A779D3">
      <w:pPr>
        <w:spacing w:line="480" w:lineRule="exact"/>
        <w:jc w:val="both"/>
        <w:rPr>
          <w:rFonts w:ascii="標楷體" w:eastAsia="標楷體" w:hAnsi="標楷體" w:cs="標楷體"/>
          <w:b/>
          <w:kern w:val="1"/>
          <w:sz w:val="28"/>
          <w:szCs w:val="32"/>
        </w:rPr>
      </w:pPr>
      <w:r w:rsidRPr="00306F4B">
        <w:rPr>
          <w:rFonts w:ascii="標楷體" w:eastAsia="標楷體" w:hAnsi="標楷體" w:cs="標楷體" w:hint="eastAsia"/>
          <w:b/>
          <w:kern w:val="1"/>
          <w:sz w:val="28"/>
          <w:szCs w:val="32"/>
        </w:rPr>
        <w:t>民事訴訟部分</w:t>
      </w:r>
      <w:r>
        <w:rPr>
          <w:rFonts w:ascii="標楷體" w:eastAsia="標楷體" w:hAnsi="標楷體" w:cs="標楷體" w:hint="eastAsia"/>
          <w:b/>
          <w:kern w:val="1"/>
          <w:sz w:val="28"/>
          <w:szCs w:val="32"/>
        </w:rPr>
        <w:t>：</w:t>
      </w:r>
    </w:p>
    <w:p w:rsidR="00306F4B" w:rsidRPr="00306F4B" w:rsidRDefault="00306F4B" w:rsidP="00A779D3">
      <w:pPr>
        <w:spacing w:line="480" w:lineRule="exact"/>
        <w:ind w:firstLineChars="221" w:firstLine="619"/>
        <w:jc w:val="both"/>
        <w:rPr>
          <w:rFonts w:ascii="標楷體" w:eastAsia="標楷體" w:hAnsi="標楷體" w:cs="Times New Roman"/>
          <w:sz w:val="28"/>
          <w:szCs w:val="32"/>
        </w:rPr>
      </w:pPr>
      <w:r w:rsidRPr="00306F4B">
        <w:rPr>
          <w:rFonts w:ascii="標楷體" w:eastAsia="標楷體" w:hAnsi="標楷體" w:cs="Times New Roman" w:hint="eastAsia"/>
          <w:sz w:val="28"/>
          <w:szCs w:val="32"/>
        </w:rPr>
        <w:t>為建構民事訴訟金字塔</w:t>
      </w:r>
      <w:r w:rsidRPr="00306F4B">
        <w:rPr>
          <w:rFonts w:ascii="標楷體" w:eastAsia="標楷體" w:hAnsi="標楷體" w:cs="Times New Roman" w:hint="eastAsia"/>
          <w:color w:val="000000" w:themeColor="text1"/>
          <w:sz w:val="28"/>
          <w:szCs w:val="32"/>
        </w:rPr>
        <w:t>型</w:t>
      </w:r>
      <w:r w:rsidRPr="00306F4B">
        <w:rPr>
          <w:rFonts w:ascii="標楷體" w:eastAsia="標楷體" w:hAnsi="標楷體" w:cs="Times New Roman" w:hint="eastAsia"/>
          <w:sz w:val="28"/>
          <w:szCs w:val="32"/>
        </w:rPr>
        <w:t>訴訟制度，使第一審成為堅實的事實審，第二審為嚴格續審制，第三審為嚴格法律審，以及為解決目前實務遭遇的部分問題，司</w:t>
      </w:r>
      <w:r w:rsidRPr="00306F4B">
        <w:rPr>
          <w:rFonts w:ascii="標楷體" w:eastAsia="標楷體" w:hAnsi="標楷體" w:cs="Times New Roman"/>
          <w:sz w:val="28"/>
          <w:szCs w:val="32"/>
        </w:rPr>
        <w:t>法院</w:t>
      </w:r>
      <w:r w:rsidRPr="00306F4B">
        <w:rPr>
          <w:rFonts w:ascii="標楷體" w:eastAsia="標楷體" w:hAnsi="標楷體" w:cs="Times New Roman" w:hint="eastAsia"/>
          <w:sz w:val="28"/>
          <w:szCs w:val="32"/>
        </w:rPr>
        <w:t>民</w:t>
      </w:r>
      <w:r w:rsidRPr="00306F4B">
        <w:rPr>
          <w:rFonts w:ascii="標楷體" w:eastAsia="標楷體" w:hAnsi="標楷體" w:cs="Times New Roman"/>
          <w:sz w:val="28"/>
          <w:szCs w:val="32"/>
        </w:rPr>
        <w:t>事</w:t>
      </w:r>
      <w:r w:rsidRPr="00306F4B">
        <w:rPr>
          <w:rFonts w:ascii="標楷體" w:eastAsia="標楷體" w:hAnsi="標楷體" w:cs="Times New Roman" w:hint="eastAsia"/>
          <w:sz w:val="28"/>
          <w:szCs w:val="32"/>
        </w:rPr>
        <w:t>訴</w:t>
      </w:r>
      <w:r w:rsidRPr="00306F4B">
        <w:rPr>
          <w:rFonts w:ascii="標楷體" w:eastAsia="標楷體" w:hAnsi="標楷體" w:cs="Times New Roman"/>
          <w:sz w:val="28"/>
          <w:szCs w:val="32"/>
        </w:rPr>
        <w:t>訟法研究修</w:t>
      </w:r>
      <w:r w:rsidRPr="00306F4B">
        <w:rPr>
          <w:rFonts w:ascii="標楷體" w:eastAsia="標楷體" w:hAnsi="標楷體" w:cs="Times New Roman" w:hint="eastAsia"/>
          <w:sz w:val="28"/>
          <w:szCs w:val="32"/>
        </w:rPr>
        <w:t>正</w:t>
      </w:r>
      <w:r w:rsidRPr="00306F4B">
        <w:rPr>
          <w:rFonts w:ascii="標楷體" w:eastAsia="標楷體" w:hAnsi="標楷體" w:cs="Times New Roman"/>
          <w:sz w:val="28"/>
          <w:szCs w:val="32"/>
        </w:rPr>
        <w:t>委員會</w:t>
      </w:r>
      <w:r w:rsidRPr="00306F4B">
        <w:rPr>
          <w:rFonts w:ascii="標楷體" w:eastAsia="標楷體" w:hAnsi="標楷體" w:cs="Times New Roman" w:hint="eastAsia"/>
          <w:sz w:val="28"/>
          <w:szCs w:val="32"/>
        </w:rPr>
        <w:t>歷</w:t>
      </w:r>
      <w:r w:rsidRPr="00306F4B">
        <w:rPr>
          <w:rFonts w:ascii="標楷體" w:eastAsia="標楷體" w:hAnsi="標楷體" w:cs="Times New Roman"/>
          <w:sz w:val="28"/>
          <w:szCs w:val="32"/>
        </w:rPr>
        <w:t>經近</w:t>
      </w:r>
      <w:r w:rsidRPr="00306F4B">
        <w:rPr>
          <w:rFonts w:ascii="標楷體" w:eastAsia="標楷體" w:hAnsi="標楷體" w:cs="Times New Roman" w:hint="eastAsia"/>
          <w:sz w:val="28"/>
          <w:szCs w:val="32"/>
        </w:rPr>
        <w:t>八個月</w:t>
      </w:r>
      <w:r w:rsidRPr="00306F4B">
        <w:rPr>
          <w:rFonts w:ascii="標楷體" w:eastAsia="標楷體" w:hAnsi="標楷體" w:cs="Times New Roman"/>
          <w:sz w:val="28"/>
          <w:szCs w:val="32"/>
        </w:rPr>
        <w:t>之研議，</w:t>
      </w:r>
      <w:r w:rsidRPr="00306F4B">
        <w:rPr>
          <w:rFonts w:ascii="標楷體" w:eastAsia="標楷體" w:hAnsi="標楷體" w:cs="Times New Roman" w:hint="eastAsia"/>
          <w:sz w:val="28"/>
          <w:szCs w:val="32"/>
        </w:rPr>
        <w:t>已完</w:t>
      </w:r>
      <w:r w:rsidRPr="00306F4B">
        <w:rPr>
          <w:rFonts w:ascii="標楷體" w:eastAsia="標楷體" w:hAnsi="標楷體" w:cs="Times New Roman"/>
          <w:sz w:val="28"/>
          <w:szCs w:val="32"/>
        </w:rPr>
        <w:t>成民事訴訟法</w:t>
      </w:r>
      <w:r w:rsidRPr="00306F4B">
        <w:rPr>
          <w:rFonts w:ascii="標楷體" w:eastAsia="標楷體" w:hAnsi="標楷體" w:cs="Times New Roman" w:hint="eastAsia"/>
          <w:sz w:val="28"/>
          <w:szCs w:val="32"/>
        </w:rPr>
        <w:t>部</w:t>
      </w:r>
      <w:r w:rsidRPr="00306F4B">
        <w:rPr>
          <w:rFonts w:ascii="標楷體" w:eastAsia="標楷體" w:hAnsi="標楷體" w:cs="Times New Roman"/>
          <w:sz w:val="28"/>
          <w:szCs w:val="32"/>
        </w:rPr>
        <w:t>分條文</w:t>
      </w:r>
      <w:r w:rsidRPr="00306F4B">
        <w:rPr>
          <w:rFonts w:ascii="標楷體" w:eastAsia="標楷體" w:hAnsi="標楷體" w:cs="Times New Roman" w:hint="eastAsia"/>
          <w:sz w:val="28"/>
          <w:szCs w:val="32"/>
        </w:rPr>
        <w:t>及民事訴訟法施行法部分條文</w:t>
      </w:r>
      <w:r w:rsidRPr="00306F4B">
        <w:rPr>
          <w:rFonts w:ascii="標楷體" w:eastAsia="標楷體" w:hAnsi="標楷體" w:cs="Times New Roman"/>
          <w:sz w:val="28"/>
          <w:szCs w:val="32"/>
        </w:rPr>
        <w:t>修正草案</w:t>
      </w:r>
      <w:r w:rsidRPr="00306F4B">
        <w:rPr>
          <w:rFonts w:ascii="標楷體" w:eastAsia="標楷體" w:hAnsi="標楷體" w:cs="Times New Roman" w:hint="eastAsia"/>
          <w:sz w:val="28"/>
          <w:szCs w:val="32"/>
        </w:rPr>
        <w:t>，並經司法院第169次、第170次院會決議通過。</w:t>
      </w:r>
      <w:r w:rsidRPr="00306F4B">
        <w:rPr>
          <w:rFonts w:ascii="標楷體" w:eastAsia="標楷體" w:hAnsi="標楷體" w:cs="標楷體" w:hint="eastAsia"/>
          <w:kern w:val="1"/>
          <w:sz w:val="28"/>
          <w:szCs w:val="32"/>
        </w:rPr>
        <w:t>本次民事訴訟法修正草案</w:t>
      </w:r>
      <w:r w:rsidRPr="00306F4B">
        <w:rPr>
          <w:rFonts w:ascii="標楷體" w:eastAsia="標楷體" w:hAnsi="標楷體" w:cs="Times New Roman" w:hint="eastAsia"/>
          <w:sz w:val="28"/>
          <w:szCs w:val="32"/>
        </w:rPr>
        <w:t>共計</w:t>
      </w:r>
      <w:r w:rsidRPr="00306F4B">
        <w:rPr>
          <w:rFonts w:ascii="標楷體" w:eastAsia="標楷體" w:hAnsi="標楷體" w:cs="Times New Roman"/>
          <w:sz w:val="28"/>
          <w:szCs w:val="32"/>
        </w:rPr>
        <w:t>增訂</w:t>
      </w:r>
      <w:r w:rsidRPr="00306F4B">
        <w:rPr>
          <w:rFonts w:ascii="標楷體" w:eastAsia="標楷體" w:hAnsi="標楷體" w:cs="Times New Roman" w:hint="eastAsia"/>
          <w:sz w:val="28"/>
          <w:szCs w:val="32"/>
        </w:rPr>
        <w:t>33</w:t>
      </w:r>
      <w:r w:rsidRPr="00306F4B">
        <w:rPr>
          <w:rFonts w:ascii="標楷體" w:eastAsia="標楷體" w:hAnsi="標楷體" w:cs="Times New Roman"/>
          <w:sz w:val="28"/>
          <w:szCs w:val="32"/>
        </w:rPr>
        <w:t>條</w:t>
      </w:r>
      <w:r w:rsidRPr="00306F4B">
        <w:rPr>
          <w:rFonts w:ascii="標楷體" w:eastAsia="標楷體" w:hAnsi="標楷體" w:cs="Times New Roman" w:hint="eastAsia"/>
          <w:sz w:val="28"/>
          <w:szCs w:val="32"/>
        </w:rPr>
        <w:t>、</w:t>
      </w:r>
      <w:r w:rsidRPr="00306F4B">
        <w:rPr>
          <w:rFonts w:ascii="標楷體" w:eastAsia="標楷體" w:hAnsi="標楷體" w:cs="Times New Roman"/>
          <w:sz w:val="28"/>
          <w:szCs w:val="32"/>
        </w:rPr>
        <w:t>刪除</w:t>
      </w:r>
      <w:r w:rsidRPr="00306F4B">
        <w:rPr>
          <w:rFonts w:ascii="標楷體" w:eastAsia="標楷體" w:hAnsi="標楷體" w:cs="Times New Roman" w:hint="eastAsia"/>
          <w:sz w:val="28"/>
          <w:szCs w:val="32"/>
        </w:rPr>
        <w:t>10條、</w:t>
      </w:r>
      <w:r w:rsidRPr="00306F4B">
        <w:rPr>
          <w:rFonts w:ascii="標楷體" w:eastAsia="標楷體" w:hAnsi="標楷體" w:cs="Times New Roman"/>
          <w:sz w:val="28"/>
          <w:szCs w:val="32"/>
        </w:rPr>
        <w:t>修正</w:t>
      </w:r>
      <w:r w:rsidRPr="00306F4B">
        <w:rPr>
          <w:rFonts w:ascii="標楷體" w:eastAsia="標楷體" w:hAnsi="標楷體" w:cs="Times New Roman" w:hint="eastAsia"/>
          <w:sz w:val="28"/>
          <w:szCs w:val="32"/>
        </w:rPr>
        <w:t>33條；民事訴訟法施行法共計增訂3條、修正4條</w:t>
      </w:r>
      <w:r w:rsidRPr="00306F4B">
        <w:rPr>
          <w:rFonts w:ascii="標楷體" w:eastAsia="標楷體" w:hAnsi="標楷體" w:cs="Times New Roman"/>
          <w:sz w:val="28"/>
          <w:szCs w:val="32"/>
        </w:rPr>
        <w:t>，</w:t>
      </w:r>
      <w:r w:rsidRPr="00306F4B">
        <w:rPr>
          <w:rFonts w:ascii="標楷體" w:eastAsia="標楷體" w:hAnsi="標楷體" w:cs="Times New Roman" w:hint="eastAsia"/>
          <w:sz w:val="28"/>
          <w:szCs w:val="32"/>
        </w:rPr>
        <w:t>其修正</w:t>
      </w:r>
      <w:r w:rsidRPr="00306F4B">
        <w:rPr>
          <w:rFonts w:ascii="標楷體" w:eastAsia="標楷體" w:hAnsi="標楷體" w:cs="Times New Roman"/>
          <w:sz w:val="28"/>
          <w:szCs w:val="32"/>
        </w:rPr>
        <w:t>重點</w:t>
      </w:r>
      <w:r w:rsidRPr="00306F4B">
        <w:rPr>
          <w:rFonts w:ascii="標楷體" w:eastAsia="標楷體" w:hAnsi="標楷體" w:cs="Times New Roman" w:hint="eastAsia"/>
          <w:sz w:val="28"/>
          <w:szCs w:val="32"/>
        </w:rPr>
        <w:t>為：一、增加專家</w:t>
      </w:r>
      <w:r w:rsidRPr="00306F4B">
        <w:rPr>
          <w:rFonts w:ascii="標楷體" w:eastAsia="標楷體" w:hAnsi="標楷體" w:cs="Times New Roman"/>
          <w:sz w:val="28"/>
          <w:szCs w:val="32"/>
        </w:rPr>
        <w:t>參與</w:t>
      </w:r>
      <w:r w:rsidRPr="00306F4B">
        <w:rPr>
          <w:rFonts w:ascii="標楷體" w:eastAsia="標楷體" w:hAnsi="標楷體" w:cs="Times New Roman" w:hint="eastAsia"/>
          <w:sz w:val="28"/>
          <w:szCs w:val="32"/>
        </w:rPr>
        <w:t>之規定；二、擴大</w:t>
      </w:r>
      <w:r w:rsidRPr="00306F4B">
        <w:rPr>
          <w:rFonts w:ascii="標楷體" w:eastAsia="標楷體" w:hAnsi="標楷體" w:cs="Times New Roman"/>
          <w:sz w:val="28"/>
          <w:szCs w:val="32"/>
        </w:rPr>
        <w:t>律師強制代理</w:t>
      </w:r>
      <w:r w:rsidRPr="00306F4B">
        <w:rPr>
          <w:rFonts w:ascii="標楷體" w:eastAsia="標楷體" w:hAnsi="標楷體" w:cs="Times New Roman" w:hint="eastAsia"/>
          <w:sz w:val="28"/>
          <w:szCs w:val="32"/>
        </w:rPr>
        <w:t>事件之範圍；三</w:t>
      </w:r>
      <w:r w:rsidRPr="00306F4B">
        <w:rPr>
          <w:rFonts w:ascii="標楷體" w:eastAsia="標楷體" w:hAnsi="標楷體" w:cs="Times New Roman"/>
          <w:sz w:val="28"/>
          <w:szCs w:val="32"/>
        </w:rPr>
        <w:t>、</w:t>
      </w:r>
      <w:r w:rsidRPr="00306F4B">
        <w:rPr>
          <w:rFonts w:ascii="標楷體" w:eastAsia="標楷體" w:hAnsi="標楷體" w:cs="Times New Roman" w:hint="eastAsia"/>
          <w:sz w:val="28"/>
          <w:szCs w:val="32"/>
        </w:rPr>
        <w:t>修正送達代收人制度；四、新增</w:t>
      </w:r>
      <w:r w:rsidRPr="00306F4B">
        <w:rPr>
          <w:rFonts w:ascii="標楷體" w:eastAsia="標楷體" w:hAnsi="標楷體" w:cs="Times New Roman"/>
          <w:sz w:val="28"/>
          <w:szCs w:val="32"/>
        </w:rPr>
        <w:t>計畫審理</w:t>
      </w:r>
      <w:r w:rsidRPr="00306F4B">
        <w:rPr>
          <w:rFonts w:ascii="標楷體" w:eastAsia="標楷體" w:hAnsi="標楷體" w:cs="Times New Roman" w:hint="eastAsia"/>
          <w:sz w:val="28"/>
          <w:szCs w:val="32"/>
        </w:rPr>
        <w:t>之規定；五</w:t>
      </w:r>
      <w:r w:rsidRPr="00306F4B">
        <w:rPr>
          <w:rFonts w:ascii="標楷體" w:eastAsia="標楷體" w:hAnsi="標楷體" w:cs="Times New Roman"/>
          <w:sz w:val="28"/>
          <w:szCs w:val="32"/>
        </w:rPr>
        <w:t>、</w:t>
      </w:r>
      <w:r w:rsidRPr="00306F4B">
        <w:rPr>
          <w:rFonts w:ascii="標楷體" w:eastAsia="標楷體" w:hAnsi="標楷體" w:cs="Times New Roman" w:hint="eastAsia"/>
          <w:sz w:val="28"/>
          <w:szCs w:val="32"/>
        </w:rPr>
        <w:t>第二審採嚴格續審制；六</w:t>
      </w:r>
      <w:r w:rsidRPr="00306F4B">
        <w:rPr>
          <w:rFonts w:ascii="標楷體" w:eastAsia="標楷體" w:hAnsi="標楷體" w:cs="Times New Roman"/>
          <w:sz w:val="28"/>
          <w:szCs w:val="32"/>
        </w:rPr>
        <w:t>、</w:t>
      </w:r>
      <w:r w:rsidRPr="00306F4B">
        <w:rPr>
          <w:rFonts w:ascii="標楷體" w:eastAsia="標楷體" w:hAnsi="標楷體" w:cs="Times New Roman" w:hint="eastAsia"/>
          <w:sz w:val="28"/>
          <w:szCs w:val="32"/>
        </w:rPr>
        <w:t>第三審為嚴格法律審；七、再審制</w:t>
      </w:r>
      <w:r w:rsidRPr="00306F4B">
        <w:rPr>
          <w:rFonts w:ascii="標楷體" w:eastAsia="標楷體" w:hAnsi="標楷體" w:cs="Times New Roman"/>
          <w:sz w:val="28"/>
          <w:szCs w:val="32"/>
        </w:rPr>
        <w:t>度之變革</w:t>
      </w:r>
      <w:r w:rsidRPr="00306F4B">
        <w:rPr>
          <w:rFonts w:ascii="標楷體" w:eastAsia="標楷體" w:hAnsi="標楷體" w:cs="Times New Roman" w:hint="eastAsia"/>
          <w:sz w:val="28"/>
          <w:szCs w:val="32"/>
        </w:rPr>
        <w:t>；八</w:t>
      </w:r>
      <w:r w:rsidRPr="00306F4B">
        <w:rPr>
          <w:rFonts w:ascii="標楷體" w:eastAsia="標楷體" w:hAnsi="標楷體" w:cs="Times New Roman"/>
          <w:sz w:val="28"/>
          <w:szCs w:val="32"/>
        </w:rPr>
        <w:t>、</w:t>
      </w:r>
      <w:r w:rsidRPr="00306F4B">
        <w:rPr>
          <w:rFonts w:ascii="標楷體" w:eastAsia="標楷體" w:hAnsi="標楷體" w:cs="Times New Roman" w:hint="eastAsia"/>
          <w:sz w:val="28"/>
          <w:szCs w:val="32"/>
        </w:rPr>
        <w:t>個案</w:t>
      </w:r>
      <w:r w:rsidRPr="00306F4B">
        <w:rPr>
          <w:rFonts w:ascii="標楷體" w:eastAsia="標楷體" w:hAnsi="標楷體" w:cs="Times New Roman"/>
          <w:sz w:val="28"/>
          <w:szCs w:val="32"/>
        </w:rPr>
        <w:t>濫訴</w:t>
      </w:r>
      <w:r w:rsidRPr="00306F4B">
        <w:rPr>
          <w:rFonts w:ascii="標楷體" w:eastAsia="標楷體" w:hAnsi="標楷體" w:cs="Times New Roman" w:hint="eastAsia"/>
          <w:sz w:val="28"/>
          <w:szCs w:val="32"/>
        </w:rPr>
        <w:t>之防杜；九</w:t>
      </w:r>
      <w:r w:rsidRPr="00306F4B">
        <w:rPr>
          <w:rFonts w:ascii="標楷體" w:eastAsia="標楷體" w:hAnsi="標楷體" w:cs="Times New Roman"/>
          <w:sz w:val="28"/>
          <w:szCs w:val="32"/>
        </w:rPr>
        <w:t>、</w:t>
      </w:r>
      <w:r w:rsidRPr="00306F4B">
        <w:rPr>
          <w:rFonts w:ascii="標楷體" w:eastAsia="標楷體" w:hAnsi="標楷體" w:cs="Times New Roman" w:hint="eastAsia"/>
          <w:sz w:val="28"/>
          <w:szCs w:val="32"/>
        </w:rPr>
        <w:t>增加</w:t>
      </w:r>
      <w:r w:rsidRPr="00306F4B">
        <w:rPr>
          <w:rFonts w:ascii="標楷體" w:eastAsia="標楷體" w:hAnsi="標楷體" w:cs="Times New Roman"/>
          <w:sz w:val="28"/>
          <w:szCs w:val="32"/>
        </w:rPr>
        <w:t>適用簡易訴訟程序之事件</w:t>
      </w:r>
      <w:r w:rsidRPr="00306F4B">
        <w:rPr>
          <w:rFonts w:ascii="標楷體" w:eastAsia="標楷體" w:hAnsi="標楷體" w:cs="Times New Roman" w:hint="eastAsia"/>
          <w:sz w:val="28"/>
          <w:szCs w:val="32"/>
        </w:rPr>
        <w:t>類型；十</w:t>
      </w:r>
      <w:r w:rsidRPr="00306F4B">
        <w:rPr>
          <w:rFonts w:ascii="標楷體" w:eastAsia="標楷體" w:hAnsi="標楷體" w:cs="Times New Roman"/>
          <w:sz w:val="28"/>
          <w:szCs w:val="32"/>
        </w:rPr>
        <w:t>、</w:t>
      </w:r>
      <w:r w:rsidRPr="00306F4B">
        <w:rPr>
          <w:rFonts w:ascii="標楷體" w:eastAsia="標楷體" w:hAnsi="標楷體" w:cs="Times New Roman" w:hint="eastAsia"/>
          <w:sz w:val="28"/>
          <w:szCs w:val="32"/>
        </w:rPr>
        <w:t>擴大科</w:t>
      </w:r>
      <w:r w:rsidRPr="00306F4B">
        <w:rPr>
          <w:rFonts w:ascii="標楷體" w:eastAsia="標楷體" w:hAnsi="標楷體" w:cs="Times New Roman"/>
          <w:sz w:val="28"/>
          <w:szCs w:val="32"/>
        </w:rPr>
        <w:t>技設</w:t>
      </w:r>
      <w:r w:rsidRPr="00306F4B">
        <w:rPr>
          <w:rFonts w:ascii="標楷體" w:eastAsia="標楷體" w:hAnsi="標楷體" w:cs="Times New Roman" w:hint="eastAsia"/>
          <w:sz w:val="28"/>
          <w:szCs w:val="32"/>
        </w:rPr>
        <w:t>備之使用。</w:t>
      </w:r>
    </w:p>
    <w:p w:rsidR="00306F4B" w:rsidRPr="00306F4B" w:rsidRDefault="00306F4B" w:rsidP="00A779D3">
      <w:pPr>
        <w:spacing w:line="480" w:lineRule="exact"/>
        <w:ind w:firstLineChars="221" w:firstLine="619"/>
        <w:jc w:val="both"/>
        <w:rPr>
          <w:rFonts w:ascii="標楷體" w:eastAsia="標楷體" w:hAnsi="標楷體" w:cs="Times New Roman"/>
          <w:sz w:val="28"/>
          <w:szCs w:val="32"/>
        </w:rPr>
      </w:pPr>
      <w:r w:rsidRPr="00306F4B">
        <w:rPr>
          <w:rFonts w:ascii="標楷體" w:eastAsia="標楷體" w:hAnsi="標楷體" w:cs="Times New Roman"/>
          <w:sz w:val="28"/>
          <w:szCs w:val="32"/>
        </w:rPr>
        <w:t>前開草案將儘速函請立法院審議，並完成相關立法程序，以落實司法改革國是會議相關</w:t>
      </w:r>
      <w:r w:rsidRPr="00306F4B">
        <w:rPr>
          <w:rFonts w:ascii="標楷體" w:eastAsia="標楷體" w:hAnsi="標楷體" w:cs="Times New Roman" w:hint="eastAsia"/>
          <w:sz w:val="28"/>
          <w:szCs w:val="32"/>
        </w:rPr>
        <w:t>之</w:t>
      </w:r>
      <w:r w:rsidRPr="00306F4B">
        <w:rPr>
          <w:rFonts w:ascii="標楷體" w:eastAsia="標楷體" w:hAnsi="標楷體" w:cs="Times New Roman"/>
          <w:sz w:val="28"/>
          <w:szCs w:val="32"/>
        </w:rPr>
        <w:t>決議。</w:t>
      </w:r>
    </w:p>
    <w:p w:rsidR="00306F4B" w:rsidRPr="00306F4B" w:rsidRDefault="00306F4B" w:rsidP="00A779D3">
      <w:pPr>
        <w:spacing w:line="480" w:lineRule="exact"/>
        <w:jc w:val="both"/>
        <w:rPr>
          <w:rFonts w:ascii="標楷體" w:eastAsia="標楷體" w:hAnsi="標楷體" w:cs="Times New Roman"/>
          <w:b/>
          <w:sz w:val="28"/>
          <w:szCs w:val="32"/>
        </w:rPr>
      </w:pPr>
      <w:r w:rsidRPr="00306F4B">
        <w:rPr>
          <w:rFonts w:ascii="標楷體" w:eastAsia="標楷體" w:hAnsi="標楷體" w:cs="Times New Roman" w:hint="eastAsia"/>
          <w:b/>
          <w:sz w:val="28"/>
          <w:szCs w:val="32"/>
        </w:rPr>
        <w:t>刑事訴訟部分</w:t>
      </w:r>
      <w:r>
        <w:rPr>
          <w:rFonts w:ascii="標楷體" w:eastAsia="標楷體" w:hAnsi="標楷體" w:cs="Times New Roman" w:hint="eastAsia"/>
          <w:b/>
          <w:sz w:val="28"/>
          <w:szCs w:val="32"/>
        </w:rPr>
        <w:t>：</w:t>
      </w:r>
    </w:p>
    <w:p w:rsidR="00306F4B" w:rsidRPr="00306F4B" w:rsidRDefault="00306F4B" w:rsidP="00A779D3">
      <w:pPr>
        <w:spacing w:line="480" w:lineRule="exact"/>
        <w:ind w:firstLineChars="221" w:firstLine="619"/>
        <w:jc w:val="both"/>
        <w:rPr>
          <w:rFonts w:ascii="標楷體" w:eastAsia="標楷體" w:hAnsi="標楷體" w:cs="Times New Roman"/>
          <w:bCs/>
          <w:sz w:val="28"/>
          <w:szCs w:val="32"/>
        </w:rPr>
      </w:pPr>
      <w:r w:rsidRPr="00306F4B">
        <w:rPr>
          <w:rFonts w:ascii="標楷體" w:eastAsia="標楷體" w:hAnsi="標楷體" w:cs="Times New Roman"/>
          <w:sz w:val="28"/>
          <w:szCs w:val="32"/>
        </w:rPr>
        <w:t>司法院於107年6月</w:t>
      </w:r>
      <w:r w:rsidRPr="00306F4B">
        <w:rPr>
          <w:rFonts w:ascii="標楷體" w:eastAsia="標楷體" w:hAnsi="標楷體" w:cs="Times New Roman" w:hint="eastAsia"/>
          <w:sz w:val="28"/>
          <w:szCs w:val="32"/>
        </w:rPr>
        <w:t>26</w:t>
      </w:r>
      <w:r w:rsidRPr="00306F4B">
        <w:rPr>
          <w:rFonts w:ascii="標楷體" w:eastAsia="標楷體" w:hAnsi="標楷體" w:cs="Times New Roman"/>
          <w:sz w:val="28"/>
          <w:szCs w:val="32"/>
        </w:rPr>
        <w:t>日召開第1</w:t>
      </w:r>
      <w:r w:rsidRPr="00306F4B">
        <w:rPr>
          <w:rFonts w:ascii="標楷體" w:eastAsia="標楷體" w:hAnsi="標楷體" w:cs="Times New Roman" w:hint="eastAsia"/>
          <w:sz w:val="28"/>
          <w:szCs w:val="32"/>
        </w:rPr>
        <w:t>70</w:t>
      </w:r>
      <w:r w:rsidRPr="00306F4B">
        <w:rPr>
          <w:rFonts w:ascii="標楷體" w:eastAsia="標楷體" w:hAnsi="標楷體" w:cs="Times New Roman"/>
          <w:sz w:val="28"/>
          <w:szCs w:val="32"/>
        </w:rPr>
        <w:t>次院會，</w:t>
      </w:r>
      <w:r w:rsidRPr="00306F4B">
        <w:rPr>
          <w:rFonts w:ascii="標楷體" w:eastAsia="標楷體" w:hAnsi="標楷體" w:cs="Times New Roman" w:hint="eastAsia"/>
          <w:bCs/>
          <w:sz w:val="28"/>
          <w:szCs w:val="32"/>
        </w:rPr>
        <w:t>通過刑事訴訟法部分條文修正草案、刑事訴訟法施行法第七條之十二修正草案，後續將積極推動立法。</w:t>
      </w:r>
    </w:p>
    <w:p w:rsidR="00306F4B" w:rsidRPr="00306F4B" w:rsidRDefault="00306F4B" w:rsidP="00A779D3">
      <w:pPr>
        <w:spacing w:line="480" w:lineRule="exact"/>
        <w:ind w:firstLineChars="221" w:firstLine="619"/>
        <w:jc w:val="both"/>
        <w:rPr>
          <w:rFonts w:ascii="標楷體" w:eastAsia="標楷體" w:hAnsi="標楷體" w:cs="Times New Roman"/>
          <w:sz w:val="28"/>
          <w:szCs w:val="32"/>
        </w:rPr>
      </w:pPr>
      <w:r w:rsidRPr="00306F4B">
        <w:rPr>
          <w:rFonts w:ascii="標楷體" w:eastAsia="標楷體" w:hAnsi="標楷體" w:cs="Times New Roman"/>
          <w:sz w:val="28"/>
          <w:szCs w:val="32"/>
        </w:rPr>
        <w:t>本</w:t>
      </w:r>
      <w:r w:rsidRPr="00306F4B">
        <w:rPr>
          <w:rFonts w:ascii="標楷體" w:eastAsia="標楷體" w:hAnsi="標楷體" w:cs="Times New Roman" w:hint="eastAsia"/>
          <w:sz w:val="28"/>
          <w:szCs w:val="32"/>
        </w:rPr>
        <w:t>次</w:t>
      </w:r>
      <w:r w:rsidRPr="00306F4B">
        <w:rPr>
          <w:rFonts w:ascii="標楷體" w:eastAsia="標楷體" w:hAnsi="標楷體" w:cs="Times New Roman"/>
          <w:sz w:val="28"/>
          <w:szCs w:val="32"/>
        </w:rPr>
        <w:t>修正刑事訴訟法</w:t>
      </w:r>
      <w:r w:rsidRPr="00306F4B">
        <w:rPr>
          <w:rFonts w:ascii="標楷體" w:eastAsia="標楷體" w:hAnsi="標楷體" w:cs="Times New Roman" w:hint="eastAsia"/>
          <w:sz w:val="28"/>
          <w:szCs w:val="32"/>
        </w:rPr>
        <w:t>係有鑒於施行數十年之刑事覆審制，並無助於事實的釐清，徒然耗費司法資源，以致於司法效能未能整體提升。為建構妥速富有效率、嚴謹富有公義的刑事訴訟制度，爰以「明案速判」、「疑案慎斷」為中心思想，依被告對案情有無爭執而適用不同處理流程，建構「分流制刑事訴訟」，以達成金字塔型刑事訴訟架構之改革目標，</w:t>
      </w:r>
      <w:r w:rsidRPr="00306F4B">
        <w:rPr>
          <w:rFonts w:ascii="標楷體" w:eastAsia="標楷體" w:hAnsi="標楷體" w:cs="Times New Roman" w:hint="eastAsia"/>
          <w:bCs/>
          <w:sz w:val="28"/>
          <w:szCs w:val="32"/>
        </w:rPr>
        <w:t>讓爭議的事實，在第一審充分的人力及設備支援下，及早確定，終審法院集中於法律適用的審查，可使法律適用更正確，及避免法律見解的分歧。</w:t>
      </w:r>
      <w:r w:rsidRPr="00306F4B">
        <w:rPr>
          <w:rFonts w:ascii="標楷體" w:eastAsia="標楷體" w:hAnsi="標楷體" w:cs="Times New Roman" w:hint="eastAsia"/>
          <w:sz w:val="28"/>
          <w:szCs w:val="32"/>
        </w:rPr>
        <w:t>爰修正刑事訴訟法第一編「總則」第四章「辯護人、輔佐人及代理人」、第十章「被告之羈押」、第十二章「證據」、第</w:t>
      </w:r>
      <w:r w:rsidRPr="00306F4B">
        <w:rPr>
          <w:rFonts w:ascii="標楷體" w:eastAsia="標楷體" w:hAnsi="標楷體" w:cs="Times New Roman" w:hint="eastAsia"/>
          <w:sz w:val="28"/>
          <w:szCs w:val="32"/>
        </w:rPr>
        <w:lastRenderedPageBreak/>
        <w:t>二編「第一審」、第三編「上訴」、第七編「簡易程序」、第七編之一「協商程序」等相關條文，計修正5</w:t>
      </w:r>
      <w:r w:rsidRPr="00306F4B">
        <w:rPr>
          <w:rFonts w:ascii="標楷體" w:eastAsia="標楷體" w:hAnsi="標楷體" w:cs="Times New Roman"/>
          <w:sz w:val="28"/>
          <w:szCs w:val="32"/>
        </w:rPr>
        <w:t>3</w:t>
      </w:r>
      <w:r w:rsidRPr="00306F4B">
        <w:rPr>
          <w:rFonts w:ascii="標楷體" w:eastAsia="標楷體" w:hAnsi="標楷體" w:cs="Times New Roman" w:hint="eastAsia"/>
          <w:sz w:val="28"/>
          <w:szCs w:val="32"/>
        </w:rPr>
        <w:t>條、增訂3</w:t>
      </w:r>
      <w:r w:rsidRPr="00306F4B">
        <w:rPr>
          <w:rFonts w:ascii="標楷體" w:eastAsia="標楷體" w:hAnsi="標楷體" w:cs="Times New Roman"/>
          <w:sz w:val="28"/>
          <w:szCs w:val="32"/>
        </w:rPr>
        <w:t>9</w:t>
      </w:r>
      <w:r w:rsidRPr="00306F4B">
        <w:rPr>
          <w:rFonts w:ascii="標楷體" w:eastAsia="標楷體" w:hAnsi="標楷體" w:cs="Times New Roman" w:hint="eastAsia"/>
          <w:sz w:val="28"/>
          <w:szCs w:val="32"/>
        </w:rPr>
        <w:t>條、刪除1</w:t>
      </w:r>
      <w:r w:rsidRPr="00306F4B">
        <w:rPr>
          <w:rFonts w:ascii="標楷體" w:eastAsia="標楷體" w:hAnsi="標楷體" w:cs="Times New Roman"/>
          <w:sz w:val="28"/>
          <w:szCs w:val="32"/>
        </w:rPr>
        <w:t>5</w:t>
      </w:r>
      <w:r w:rsidRPr="00306F4B">
        <w:rPr>
          <w:rFonts w:ascii="標楷體" w:eastAsia="標楷體" w:hAnsi="標楷體" w:cs="Times New Roman" w:hint="eastAsia"/>
          <w:sz w:val="28"/>
          <w:szCs w:val="32"/>
        </w:rPr>
        <w:t>條，共計1</w:t>
      </w:r>
      <w:r w:rsidRPr="00306F4B">
        <w:rPr>
          <w:rFonts w:ascii="標楷體" w:eastAsia="標楷體" w:hAnsi="標楷體" w:cs="Times New Roman"/>
          <w:sz w:val="28"/>
          <w:szCs w:val="32"/>
        </w:rPr>
        <w:t>07</w:t>
      </w:r>
      <w:r w:rsidRPr="00306F4B">
        <w:rPr>
          <w:rFonts w:ascii="標楷體" w:eastAsia="標楷體" w:hAnsi="標楷體" w:cs="Times New Roman" w:hint="eastAsia"/>
          <w:sz w:val="28"/>
          <w:szCs w:val="32"/>
        </w:rPr>
        <w:t>條。</w:t>
      </w:r>
    </w:p>
    <w:p w:rsidR="00306F4B" w:rsidRPr="00306F4B" w:rsidRDefault="00306F4B" w:rsidP="00A779D3">
      <w:pPr>
        <w:spacing w:line="480" w:lineRule="exact"/>
        <w:jc w:val="both"/>
        <w:rPr>
          <w:rFonts w:ascii="標楷體" w:eastAsia="標楷體" w:hAnsi="標楷體" w:cs="Times New Roman"/>
          <w:b/>
          <w:sz w:val="28"/>
          <w:szCs w:val="32"/>
        </w:rPr>
      </w:pPr>
      <w:r w:rsidRPr="00306F4B">
        <w:rPr>
          <w:rFonts w:ascii="標楷體" w:eastAsia="標楷體" w:hAnsi="標楷體" w:cs="Times New Roman" w:hint="eastAsia"/>
          <w:b/>
          <w:sz w:val="28"/>
          <w:szCs w:val="32"/>
        </w:rPr>
        <w:t>行政訴訟部分</w:t>
      </w:r>
      <w:r>
        <w:rPr>
          <w:rFonts w:ascii="標楷體" w:eastAsia="標楷體" w:hAnsi="標楷體" w:cs="Times New Roman" w:hint="eastAsia"/>
          <w:b/>
          <w:sz w:val="28"/>
          <w:szCs w:val="32"/>
        </w:rPr>
        <w:t>：</w:t>
      </w:r>
    </w:p>
    <w:p w:rsidR="00306F4B" w:rsidRPr="00306F4B" w:rsidRDefault="00306F4B" w:rsidP="00A779D3">
      <w:pPr>
        <w:spacing w:line="480" w:lineRule="exact"/>
        <w:ind w:firstLineChars="265" w:firstLine="742"/>
        <w:jc w:val="both"/>
        <w:rPr>
          <w:rFonts w:ascii="標楷體" w:eastAsia="標楷體" w:hAnsi="標楷體" w:cs="Times New Roman"/>
          <w:sz w:val="28"/>
          <w:szCs w:val="32"/>
        </w:rPr>
      </w:pPr>
      <w:r w:rsidRPr="00306F4B">
        <w:rPr>
          <w:rFonts w:ascii="標楷體" w:eastAsia="標楷體" w:hAnsi="標楷體" w:cs="Times New Roman" w:hint="eastAsia"/>
          <w:sz w:val="28"/>
          <w:szCs w:val="32"/>
        </w:rPr>
        <w:t xml:space="preserve">本次行政訴訟法修正以形塑堅實的第一審行政法院與發揮法律審功能的最高行政法院為目標，強化促進訴訟程序及替代裁判之紛爭解決機制。重點包括： </w:t>
      </w:r>
    </w:p>
    <w:p w:rsidR="00306F4B" w:rsidRPr="00306F4B" w:rsidRDefault="00306F4B" w:rsidP="00A779D3">
      <w:pPr>
        <w:spacing w:line="480" w:lineRule="exact"/>
        <w:ind w:left="560" w:hangingChars="200" w:hanging="560"/>
        <w:jc w:val="both"/>
        <w:rPr>
          <w:rFonts w:ascii="標楷體" w:eastAsia="標楷體" w:hAnsi="標楷體" w:cs="Times New Roman"/>
          <w:sz w:val="28"/>
          <w:szCs w:val="32"/>
        </w:rPr>
      </w:pPr>
      <w:r w:rsidRPr="00306F4B">
        <w:rPr>
          <w:rFonts w:ascii="標楷體" w:eastAsia="標楷體" w:hAnsi="標楷體" w:cs="Times New Roman" w:hint="eastAsia"/>
          <w:sz w:val="28"/>
          <w:szCs w:val="32"/>
        </w:rPr>
        <w:t xml:space="preserve">（1）建構金字塔型的訴訟結構：調整高等行政法院與地方法院行政訴訟庭第一審管轄範圍，將部分通常訴訟程序事件改由地方法院行政訴訟庭為第一審管轄法院；管轄此類事件之地方法院行政訴訟庭及其管轄區域，由司法院定之；此類事件之判決，以高等行政法院為上訴終審法院。以高等行政法院為第一審之通常訴訟程序事件，以最高行政法院為上訴終審法院。最高行政法院採行部分許可上訴制，並增設統一裁判見解機制、裁判不同意見書制度等。 </w:t>
      </w:r>
    </w:p>
    <w:p w:rsidR="00306F4B" w:rsidRPr="00306F4B" w:rsidRDefault="00306F4B" w:rsidP="00A779D3">
      <w:pPr>
        <w:spacing w:line="480" w:lineRule="exact"/>
        <w:ind w:left="560" w:hangingChars="200" w:hanging="560"/>
        <w:jc w:val="both"/>
        <w:rPr>
          <w:rFonts w:ascii="標楷體" w:eastAsia="標楷體" w:hAnsi="標楷體" w:cs="Times New Roman"/>
          <w:sz w:val="28"/>
          <w:szCs w:val="32"/>
        </w:rPr>
      </w:pPr>
      <w:r w:rsidRPr="00306F4B">
        <w:rPr>
          <w:rFonts w:ascii="標楷體" w:eastAsia="標楷體" w:hAnsi="標楷體" w:cs="Times New Roman" w:hint="eastAsia"/>
          <w:sz w:val="28"/>
          <w:szCs w:val="32"/>
        </w:rPr>
        <w:t xml:space="preserve">（2）完善替代裁判之紛爭解決機制：強化行政訴訟和解制度，並增訂行政訴訟調解制度。 </w:t>
      </w:r>
    </w:p>
    <w:p w:rsidR="00306F4B" w:rsidRPr="00306F4B" w:rsidRDefault="00306F4B" w:rsidP="00A779D3">
      <w:pPr>
        <w:spacing w:line="480" w:lineRule="exact"/>
        <w:jc w:val="both"/>
        <w:rPr>
          <w:rFonts w:ascii="標楷體" w:eastAsia="標楷體" w:hAnsi="標楷體" w:cs="Times New Roman"/>
          <w:sz w:val="28"/>
          <w:szCs w:val="32"/>
        </w:rPr>
      </w:pPr>
      <w:r w:rsidRPr="00306F4B">
        <w:rPr>
          <w:rFonts w:ascii="標楷體" w:eastAsia="標楷體" w:hAnsi="標楷體" w:cs="Times New Roman" w:hint="eastAsia"/>
          <w:sz w:val="28"/>
          <w:szCs w:val="32"/>
        </w:rPr>
        <w:t xml:space="preserve">（3）新增專家參與制度。 </w:t>
      </w:r>
    </w:p>
    <w:p w:rsidR="00306F4B" w:rsidRPr="00306F4B" w:rsidRDefault="00306F4B" w:rsidP="00A779D3">
      <w:pPr>
        <w:spacing w:line="480" w:lineRule="exact"/>
        <w:ind w:left="560" w:hangingChars="200" w:hanging="560"/>
        <w:jc w:val="both"/>
        <w:rPr>
          <w:rFonts w:ascii="標楷體" w:eastAsia="標楷體" w:hAnsi="標楷體" w:cs="Times New Roman"/>
          <w:sz w:val="28"/>
          <w:szCs w:val="32"/>
        </w:rPr>
      </w:pPr>
      <w:r w:rsidRPr="00306F4B">
        <w:rPr>
          <w:rFonts w:ascii="標楷體" w:eastAsia="標楷體" w:hAnsi="標楷體" w:cs="Times New Roman" w:hint="eastAsia"/>
          <w:sz w:val="28"/>
          <w:szCs w:val="32"/>
        </w:rPr>
        <w:t xml:space="preserve">（4）促進訴訟程序：明確化行政法院職權調查與當事人協力義務，增訂以科技設備傳送書狀，及以法庭錄音、錄影代替筆錄，並擴大視訊審理的範圍、簡化當事人書狀及裁判書製作、增訂裁判正本之形式與送達方式等。 </w:t>
      </w:r>
    </w:p>
    <w:p w:rsidR="00306F4B" w:rsidRPr="00306F4B" w:rsidRDefault="00306F4B" w:rsidP="00A779D3">
      <w:pPr>
        <w:spacing w:line="480" w:lineRule="exact"/>
        <w:jc w:val="both"/>
        <w:rPr>
          <w:rFonts w:ascii="標楷體" w:eastAsia="標楷體" w:hAnsi="標楷體" w:cs="Times New Roman"/>
          <w:sz w:val="28"/>
          <w:szCs w:val="32"/>
        </w:rPr>
      </w:pPr>
      <w:r w:rsidRPr="00306F4B">
        <w:rPr>
          <w:rFonts w:ascii="標楷體" w:eastAsia="標楷體" w:hAnsi="標楷體" w:cs="Times New Roman" w:hint="eastAsia"/>
          <w:sz w:val="28"/>
          <w:szCs w:val="32"/>
        </w:rPr>
        <w:t xml:space="preserve">    修正草案於107年2月14日會商行政院，經行政院於同年3月19日函復同意在案，並業經本院同年6月26日第170次院會通過，將函請立法院審議。</w:t>
      </w:r>
    </w:p>
    <w:p w:rsidR="00306F4B" w:rsidRPr="00AD2CAA" w:rsidRDefault="00306F4B" w:rsidP="00A779D3">
      <w:pPr>
        <w:spacing w:beforeLines="50" w:before="180" w:afterLines="50" w:after="180" w:line="480" w:lineRule="exact"/>
        <w:jc w:val="both"/>
        <w:rPr>
          <w:rFonts w:ascii="標楷體" w:eastAsia="標楷體" w:hAnsi="標楷體" w:cs="Arial"/>
          <w:b/>
          <w:bCs/>
          <w:color w:val="000000"/>
          <w:kern w:val="36"/>
          <w:sz w:val="28"/>
          <w:szCs w:val="28"/>
        </w:rPr>
      </w:pPr>
      <w:r>
        <w:rPr>
          <w:rFonts w:ascii="標楷體" w:eastAsia="標楷體" w:hAnsi="標楷體" w:hint="eastAsia"/>
          <w:b/>
          <w:sz w:val="28"/>
        </w:rPr>
        <w:t>參、</w:t>
      </w:r>
      <w:r w:rsidRPr="00306F4B">
        <w:rPr>
          <w:rFonts w:ascii="標楷體" w:eastAsia="標楷體" w:hAnsi="標楷體" w:hint="eastAsia"/>
          <w:b/>
          <w:sz w:val="28"/>
        </w:rPr>
        <w:t>訴訟外紛爭解決機制ADR</w:t>
      </w:r>
    </w:p>
    <w:p w:rsidR="00306F4B" w:rsidRPr="00AD2CAA" w:rsidRDefault="00306F4B" w:rsidP="00A779D3">
      <w:pPr>
        <w:widowControl/>
        <w:spacing w:line="480" w:lineRule="exact"/>
        <w:ind w:firstLineChars="200" w:firstLine="560"/>
        <w:jc w:val="both"/>
        <w:rPr>
          <w:rFonts w:ascii="標楷體" w:eastAsia="標楷體" w:hAnsi="標楷體"/>
          <w:sz w:val="28"/>
          <w:szCs w:val="32"/>
        </w:rPr>
      </w:pPr>
      <w:r w:rsidRPr="00AD2CAA">
        <w:rPr>
          <w:rFonts w:ascii="標楷體" w:eastAsia="標楷體" w:hAnsi="標楷體" w:hint="eastAsia"/>
          <w:sz w:val="28"/>
          <w:szCs w:val="32"/>
        </w:rPr>
        <w:t>如何迅速、妥適地解決私權糾紛，是司法院非常關心的議題。有關私權糾紛的處理方式，除了向法院提起訴訟或聲請調解等廣為熟知</w:t>
      </w:r>
      <w:r w:rsidRPr="00AD2CAA">
        <w:rPr>
          <w:rFonts w:ascii="標楷體" w:eastAsia="標楷體" w:hAnsi="標楷體" w:hint="eastAsia"/>
          <w:sz w:val="28"/>
          <w:szCs w:val="32"/>
        </w:rPr>
        <w:lastRenderedPageBreak/>
        <w:t>的方法外，民眾還可以選擇到法院以外的紛爭解決機構請求以「調解」、「調處」或「仲裁」等方式解決。這種利用訴訟以外的方式解決紛爭，就稱為「訴訟外紛爭解決機制」，英文名稱為Alternative Dispute Resolution，通常簡稱為ADR。</w:t>
      </w:r>
    </w:p>
    <w:p w:rsidR="00306F4B" w:rsidRPr="00AD2CAA" w:rsidRDefault="00306F4B" w:rsidP="00A779D3">
      <w:pPr>
        <w:widowControl/>
        <w:spacing w:line="480" w:lineRule="exact"/>
        <w:ind w:firstLineChars="200" w:firstLine="560"/>
        <w:jc w:val="both"/>
        <w:rPr>
          <w:rFonts w:ascii="標楷體" w:eastAsia="標楷體" w:hAnsi="標楷體"/>
          <w:sz w:val="28"/>
          <w:szCs w:val="32"/>
        </w:rPr>
      </w:pPr>
      <w:r w:rsidRPr="00AD2CAA">
        <w:rPr>
          <w:rFonts w:ascii="標楷體" w:eastAsia="標楷體" w:hAnsi="標楷體" w:hint="eastAsia"/>
          <w:sz w:val="28"/>
          <w:szCs w:val="32"/>
        </w:rPr>
        <w:t>為此，司</w:t>
      </w:r>
      <w:r w:rsidRPr="00AD2CAA">
        <w:rPr>
          <w:rFonts w:ascii="標楷體" w:eastAsia="標楷體" w:hAnsi="標楷體"/>
          <w:sz w:val="28"/>
          <w:szCs w:val="32"/>
        </w:rPr>
        <w:t>法院</w:t>
      </w:r>
      <w:r w:rsidRPr="00AD2CAA">
        <w:rPr>
          <w:rFonts w:ascii="標楷體" w:eastAsia="標楷體" w:hAnsi="標楷體" w:hint="eastAsia"/>
          <w:sz w:val="28"/>
          <w:szCs w:val="32"/>
        </w:rPr>
        <w:t>於座談會中，除介紹ADR之定義外，並就ADR的分類與優點、什麼案件適合用ADR解決、ADR案例、行政型、民間型ADR之法律效力、ADR與訴訟比較、如何找到ADR機構等議題進行說明，暨宣導司法院「訴訟外紛爭解決（ADR）機構查詢平台」。</w:t>
      </w:r>
    </w:p>
    <w:p w:rsidR="00306F4B" w:rsidRPr="00AD2CAA" w:rsidRDefault="00306F4B" w:rsidP="00A779D3">
      <w:pPr>
        <w:widowControl/>
        <w:spacing w:line="480" w:lineRule="exact"/>
        <w:ind w:firstLineChars="200" w:firstLine="560"/>
        <w:jc w:val="both"/>
        <w:rPr>
          <w:rFonts w:ascii="標楷體" w:eastAsia="標楷體" w:hAnsi="標楷體"/>
          <w:sz w:val="28"/>
          <w:szCs w:val="32"/>
        </w:rPr>
      </w:pPr>
      <w:r w:rsidRPr="00AD2CAA">
        <w:rPr>
          <w:rFonts w:ascii="標楷體" w:eastAsia="標楷體" w:hAnsi="標楷體" w:hint="eastAsia"/>
          <w:sz w:val="28"/>
          <w:szCs w:val="32"/>
        </w:rPr>
        <w:t>過去由於對於ADR之推廣及相關資訊不足，國內又欠缺一套統合的查詢機制，以致於民眾往往不知如何利用並尋求協助。司法院為了便利民眾及時查詢相關資訊，已建置完成「訴訟外紛爭解決（ADR）機構查詢平台」，希望藉由本次下鄉座談會，宣導訴訟外紛爭解決機制，並以法院同仁為教育種子，進一步向民眾宣導如何取得ADR機構之相關資訊，迅速解決紛爭，以因應現代社會對於多元紛爭解決方式的需求。</w:t>
      </w:r>
    </w:p>
    <w:p w:rsidR="00306F4B" w:rsidRPr="00B26370" w:rsidRDefault="00306F4B" w:rsidP="00A779D3">
      <w:pPr>
        <w:spacing w:beforeLines="50" w:before="180" w:afterLines="50" w:after="180" w:line="480" w:lineRule="exact"/>
        <w:jc w:val="both"/>
        <w:rPr>
          <w:rFonts w:ascii="標楷體" w:eastAsia="標楷體" w:hAnsi="標楷體"/>
          <w:b/>
          <w:sz w:val="28"/>
        </w:rPr>
      </w:pPr>
      <w:r>
        <w:rPr>
          <w:rFonts w:ascii="標楷體" w:eastAsia="標楷體" w:hAnsi="標楷體" w:hint="eastAsia"/>
          <w:b/>
          <w:sz w:val="28"/>
        </w:rPr>
        <w:t>肆、</w:t>
      </w:r>
      <w:r w:rsidRPr="004D5A18">
        <w:rPr>
          <w:rFonts w:ascii="標楷體" w:eastAsia="標楷體" w:hAnsi="標楷體" w:hint="eastAsia"/>
          <w:b/>
          <w:sz w:val="28"/>
        </w:rPr>
        <w:t>新世代反毒策略及多元處遇方案</w:t>
      </w:r>
    </w:p>
    <w:p w:rsidR="00AD2CAA" w:rsidRPr="003F04E6" w:rsidRDefault="00AD2CAA" w:rsidP="00A779D3">
      <w:pPr>
        <w:spacing w:line="480" w:lineRule="exact"/>
        <w:ind w:firstLineChars="200" w:firstLine="560"/>
        <w:jc w:val="both"/>
        <w:rPr>
          <w:rFonts w:ascii="標楷體" w:eastAsia="標楷體" w:hAnsi="標楷體"/>
          <w:sz w:val="28"/>
          <w:szCs w:val="28"/>
        </w:rPr>
      </w:pPr>
      <w:r w:rsidRPr="003F04E6">
        <w:rPr>
          <w:rFonts w:ascii="標楷體" w:eastAsia="標楷體" w:hAnsi="標楷體" w:hint="eastAsia"/>
          <w:sz w:val="28"/>
          <w:szCs w:val="28"/>
        </w:rPr>
        <w:t>面對當前新型態毒品氾濫、吸毒年齡層下降，以及毒品入侵校園等現象持續蔓延，政府以歸零思考方式，於去（106）年5月11日行政院第3548次會議提出統合防毒、拒毒、緝毒、戒毒及修法配套等五大面向之「新世代反毒策略」，並據以擬具「新世代反毒策略行動綱領」，以106年至109年4年為期，調整過去僅偏重「量」之反毒思維，改以「人」為中心追緝毒品源頭，並以「量」為目標消弭毒品存在，強化跨部會功能整合，提出政府具體反毒行動方案，同時增加預算資源與配套修法，期有效降低涉毒者之各種衍生性犯罪，並抑制新生毒品人口增加，維護世代健康。另106年司法改革會議對於毒品防制亦提出部分修法建議，爰依前開策略、行動綱領及司法會議部分決議辦理相關法令之修正，該修正草案於106年12月21日經行政院第3581次會議決議通過並函送立法院審議。此次修法是本條例近年</w:t>
      </w:r>
      <w:r w:rsidRPr="003F04E6">
        <w:rPr>
          <w:rFonts w:ascii="標楷體" w:eastAsia="標楷體" w:hAnsi="標楷體" w:hint="eastAsia"/>
          <w:sz w:val="28"/>
          <w:szCs w:val="28"/>
        </w:rPr>
        <w:lastRenderedPageBreak/>
        <w:t>來最大規模的一次修法，修法方向包括：一、縮短新興毒品之列管時程；二、提高製造、運輸、販賣毒品行為法定刑（包括罰金刑）並剝奪其不法利得；三、提昇新興毒品之檢驗量能及技術；四、以多元處遇之方式協助毒品施用者戒除毒癮等。總而言之，前開修法方向在</w:t>
      </w:r>
      <w:r w:rsidRPr="003F04E6">
        <w:rPr>
          <w:rFonts w:ascii="標楷體" w:eastAsia="標楷體" w:hAnsi="標楷體" w:hint="eastAsia"/>
          <w:bCs/>
          <w:sz w:val="28"/>
          <w:szCs w:val="28"/>
        </w:rPr>
        <w:t>抑制毒品供給部分，要</w:t>
      </w:r>
      <w:r w:rsidRPr="003F04E6">
        <w:rPr>
          <w:rFonts w:ascii="標楷體" w:eastAsia="標楷體" w:hAnsi="標楷體" w:hint="eastAsia"/>
          <w:sz w:val="28"/>
          <w:szCs w:val="28"/>
        </w:rPr>
        <w:t>強力打擊製運販賣毒品者；而在降低毒品需求部分，要以</w:t>
      </w:r>
      <w:r w:rsidRPr="003F04E6">
        <w:rPr>
          <w:rFonts w:ascii="標楷體" w:eastAsia="標楷體" w:hAnsi="標楷體"/>
          <w:sz w:val="28"/>
          <w:szCs w:val="28"/>
        </w:rPr>
        <w:t>多元處遇</w:t>
      </w:r>
      <w:r w:rsidRPr="003F04E6">
        <w:rPr>
          <w:rFonts w:ascii="標楷體" w:eastAsia="標楷體" w:hAnsi="標楷體" w:hint="eastAsia"/>
          <w:sz w:val="28"/>
          <w:szCs w:val="28"/>
        </w:rPr>
        <w:t>方式</w:t>
      </w:r>
      <w:r w:rsidRPr="003F04E6">
        <w:rPr>
          <w:rFonts w:ascii="標楷體" w:eastAsia="標楷體" w:hAnsi="標楷體"/>
          <w:sz w:val="28"/>
          <w:szCs w:val="28"/>
        </w:rPr>
        <w:t>協助施用毒品者</w:t>
      </w:r>
      <w:r w:rsidRPr="003F04E6">
        <w:rPr>
          <w:rFonts w:ascii="標楷體" w:eastAsia="標楷體" w:hAnsi="標楷體" w:hint="eastAsia"/>
          <w:sz w:val="28"/>
          <w:szCs w:val="28"/>
        </w:rPr>
        <w:t>戒除毒癮，復歸社會。</w:t>
      </w:r>
    </w:p>
    <w:p w:rsidR="00306F4B" w:rsidRPr="00B26370" w:rsidRDefault="00306F4B" w:rsidP="00A779D3">
      <w:pPr>
        <w:spacing w:beforeLines="50" w:before="180" w:afterLines="50" w:after="180" w:line="480" w:lineRule="exact"/>
        <w:jc w:val="both"/>
        <w:rPr>
          <w:rFonts w:ascii="標楷體" w:eastAsia="標楷體" w:hAnsi="標楷體"/>
          <w:b/>
          <w:sz w:val="28"/>
        </w:rPr>
      </w:pPr>
      <w:r>
        <w:rPr>
          <w:rFonts w:ascii="標楷體" w:eastAsia="標楷體" w:hAnsi="標楷體" w:hint="eastAsia"/>
          <w:b/>
          <w:sz w:val="28"/>
        </w:rPr>
        <w:t>伍、</w:t>
      </w:r>
      <w:r w:rsidR="00AD2CAA">
        <w:rPr>
          <w:rFonts w:ascii="標楷體" w:eastAsia="標楷體" w:hAnsi="標楷體" w:hint="eastAsia"/>
          <w:b/>
          <w:sz w:val="28"/>
        </w:rPr>
        <w:t>犯罪被害人之權益保障(含社會安全網)</w:t>
      </w:r>
    </w:p>
    <w:p w:rsidR="00AD2CAA" w:rsidRDefault="00AD2CAA" w:rsidP="00A779D3">
      <w:pPr>
        <w:spacing w:line="480" w:lineRule="exact"/>
        <w:ind w:firstLineChars="200" w:firstLine="560"/>
        <w:jc w:val="both"/>
        <w:rPr>
          <w:rFonts w:ascii="標楷體" w:eastAsia="標楷體" w:hAnsi="標楷體"/>
          <w:sz w:val="28"/>
        </w:rPr>
      </w:pPr>
      <w:r w:rsidRPr="008F6D51">
        <w:rPr>
          <w:rFonts w:ascii="標楷體" w:eastAsia="標楷體" w:hAnsi="標楷體" w:hint="eastAsia"/>
          <w:sz w:val="28"/>
        </w:rPr>
        <w:t>長期以來，我國對刑事訴訟制度的討論，主要都圍繞在被告權利的保障上，而忽略了被害人及被害人家屬之聲音，很少去思考「犯罪被害人在刑事審判中， 究竟應該如何扮演著妥當及適合的角色？」、「被害人的聲音應該如何被聽到？」。或許部分傳統的觀點認為，給被害人錢就夠了，讓被害人參與刑事審判程序，只是提供被害人機會，讓被害人在法庭上擔任復仇者的角色，目的只是要使被告刑期更重。</w:t>
      </w:r>
    </w:p>
    <w:p w:rsidR="00AD2CAA" w:rsidRDefault="00AD2CAA" w:rsidP="00A779D3">
      <w:pPr>
        <w:spacing w:line="480" w:lineRule="exact"/>
        <w:ind w:firstLineChars="200" w:firstLine="560"/>
        <w:jc w:val="both"/>
        <w:rPr>
          <w:rFonts w:ascii="標楷體" w:eastAsia="標楷體" w:hAnsi="標楷體"/>
          <w:sz w:val="28"/>
        </w:rPr>
      </w:pPr>
      <w:r w:rsidRPr="008F6D51">
        <w:rPr>
          <w:rFonts w:ascii="標楷體" w:eastAsia="標楷體" w:hAnsi="標楷體" w:hint="eastAsia"/>
          <w:sz w:val="28"/>
        </w:rPr>
        <w:t>隨著時代演進，世界各國都已跳脫上述傳統觀念，而在思考該如何讓被害人的角色在刑事審判程序中更被重視：讓被害人不再只是單純的證人，讓被害人意見、情感及希望，在審判中能被聽見；讓刑罰不單單僅是懲罰被告，也能夠回應社會及被害人對公平正義的要求；讓被害人能完全了解被告犯行的全貌，而有助於其生理及心理重建。</w:t>
      </w:r>
    </w:p>
    <w:p w:rsidR="00AD2CAA" w:rsidRDefault="00AD2CAA" w:rsidP="00A779D3">
      <w:pPr>
        <w:spacing w:line="480" w:lineRule="exact"/>
        <w:ind w:firstLineChars="200" w:firstLine="560"/>
        <w:jc w:val="both"/>
        <w:rPr>
          <w:rFonts w:ascii="標楷體" w:eastAsia="標楷體" w:hAnsi="標楷體"/>
          <w:sz w:val="28"/>
        </w:rPr>
      </w:pPr>
      <w:r w:rsidRPr="008F6D51">
        <w:rPr>
          <w:rFonts w:ascii="標楷體" w:eastAsia="標楷體" w:hAnsi="標楷體" w:hint="eastAsia"/>
          <w:sz w:val="28"/>
        </w:rPr>
        <w:t>另外，犯罪案件的被害人除了面臨司法訴訟程序外，因犯罪案件造成家庭功能缺損、或是被害人本人、家庭成員生理、心理創傷，皆有待建立機制提供保護，以減少犯罪事件造成的的衝擊，協助被害人或其家屬回歸正常生活。</w:t>
      </w:r>
    </w:p>
    <w:p w:rsidR="002E3A01" w:rsidRPr="00AD2CAA" w:rsidRDefault="00AD2CAA" w:rsidP="00A779D3">
      <w:pPr>
        <w:spacing w:line="480" w:lineRule="exact"/>
        <w:ind w:firstLineChars="200" w:firstLine="560"/>
        <w:jc w:val="both"/>
        <w:rPr>
          <w:rFonts w:ascii="標楷體" w:eastAsia="標楷體" w:hAnsi="標楷體"/>
          <w:sz w:val="28"/>
        </w:rPr>
      </w:pPr>
      <w:r w:rsidRPr="008F6D51">
        <w:rPr>
          <w:rFonts w:ascii="標楷體" w:eastAsia="標楷體" w:hAnsi="標楷體" w:hint="eastAsia"/>
          <w:sz w:val="28"/>
        </w:rPr>
        <w:t>今年召開的司法改革國是會議決議，對被害人在犯罪案件發生後訴訟上的處境及後續照顧輔導做成許多決議，顯見被害人權益之議題已逐漸被重視，並當前政府施政之重點。</w:t>
      </w:r>
    </w:p>
    <w:sectPr w:rsidR="002E3A01" w:rsidRPr="00AD2CA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EC" w:rsidRDefault="006D39EC" w:rsidP="00306F4B">
      <w:r>
        <w:separator/>
      </w:r>
    </w:p>
  </w:endnote>
  <w:endnote w:type="continuationSeparator" w:id="0">
    <w:p w:rsidR="006D39EC" w:rsidRDefault="006D39EC" w:rsidP="0030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EC" w:rsidRDefault="006D39EC" w:rsidP="00306F4B">
      <w:r>
        <w:separator/>
      </w:r>
    </w:p>
  </w:footnote>
  <w:footnote w:type="continuationSeparator" w:id="0">
    <w:p w:rsidR="006D39EC" w:rsidRDefault="006D39EC" w:rsidP="00306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069CA"/>
    <w:multiLevelType w:val="hybridMultilevel"/>
    <w:tmpl w:val="53848016"/>
    <w:lvl w:ilvl="0" w:tplc="64A44202">
      <w:start w:val="1"/>
      <w:numFmt w:val="bullet"/>
      <w:lvlText w:val="•"/>
      <w:lvlJc w:val="left"/>
      <w:pPr>
        <w:tabs>
          <w:tab w:val="num" w:pos="720"/>
        </w:tabs>
        <w:ind w:left="720" w:hanging="360"/>
      </w:pPr>
      <w:rPr>
        <w:rFonts w:ascii="新細明體" w:hAnsi="新細明體" w:hint="default"/>
      </w:rPr>
    </w:lvl>
    <w:lvl w:ilvl="1" w:tplc="AA249DA4" w:tentative="1">
      <w:start w:val="1"/>
      <w:numFmt w:val="bullet"/>
      <w:lvlText w:val="•"/>
      <w:lvlJc w:val="left"/>
      <w:pPr>
        <w:tabs>
          <w:tab w:val="num" w:pos="1440"/>
        </w:tabs>
        <w:ind w:left="1440" w:hanging="360"/>
      </w:pPr>
      <w:rPr>
        <w:rFonts w:ascii="新細明體" w:hAnsi="新細明體" w:hint="default"/>
      </w:rPr>
    </w:lvl>
    <w:lvl w:ilvl="2" w:tplc="03C60814" w:tentative="1">
      <w:start w:val="1"/>
      <w:numFmt w:val="bullet"/>
      <w:lvlText w:val="•"/>
      <w:lvlJc w:val="left"/>
      <w:pPr>
        <w:tabs>
          <w:tab w:val="num" w:pos="2160"/>
        </w:tabs>
        <w:ind w:left="2160" w:hanging="360"/>
      </w:pPr>
      <w:rPr>
        <w:rFonts w:ascii="新細明體" w:hAnsi="新細明體" w:hint="default"/>
      </w:rPr>
    </w:lvl>
    <w:lvl w:ilvl="3" w:tplc="268E864E" w:tentative="1">
      <w:start w:val="1"/>
      <w:numFmt w:val="bullet"/>
      <w:lvlText w:val="•"/>
      <w:lvlJc w:val="left"/>
      <w:pPr>
        <w:tabs>
          <w:tab w:val="num" w:pos="2880"/>
        </w:tabs>
        <w:ind w:left="2880" w:hanging="360"/>
      </w:pPr>
      <w:rPr>
        <w:rFonts w:ascii="新細明體" w:hAnsi="新細明體" w:hint="default"/>
      </w:rPr>
    </w:lvl>
    <w:lvl w:ilvl="4" w:tplc="FD08D8D8" w:tentative="1">
      <w:start w:val="1"/>
      <w:numFmt w:val="bullet"/>
      <w:lvlText w:val="•"/>
      <w:lvlJc w:val="left"/>
      <w:pPr>
        <w:tabs>
          <w:tab w:val="num" w:pos="3600"/>
        </w:tabs>
        <w:ind w:left="3600" w:hanging="360"/>
      </w:pPr>
      <w:rPr>
        <w:rFonts w:ascii="新細明體" w:hAnsi="新細明體" w:hint="default"/>
      </w:rPr>
    </w:lvl>
    <w:lvl w:ilvl="5" w:tplc="80F019FC" w:tentative="1">
      <w:start w:val="1"/>
      <w:numFmt w:val="bullet"/>
      <w:lvlText w:val="•"/>
      <w:lvlJc w:val="left"/>
      <w:pPr>
        <w:tabs>
          <w:tab w:val="num" w:pos="4320"/>
        </w:tabs>
        <w:ind w:left="4320" w:hanging="360"/>
      </w:pPr>
      <w:rPr>
        <w:rFonts w:ascii="新細明體" w:hAnsi="新細明體" w:hint="default"/>
      </w:rPr>
    </w:lvl>
    <w:lvl w:ilvl="6" w:tplc="58E265F6" w:tentative="1">
      <w:start w:val="1"/>
      <w:numFmt w:val="bullet"/>
      <w:lvlText w:val="•"/>
      <w:lvlJc w:val="left"/>
      <w:pPr>
        <w:tabs>
          <w:tab w:val="num" w:pos="5040"/>
        </w:tabs>
        <w:ind w:left="5040" w:hanging="360"/>
      </w:pPr>
      <w:rPr>
        <w:rFonts w:ascii="新細明體" w:hAnsi="新細明體" w:hint="default"/>
      </w:rPr>
    </w:lvl>
    <w:lvl w:ilvl="7" w:tplc="02B2E9B0" w:tentative="1">
      <w:start w:val="1"/>
      <w:numFmt w:val="bullet"/>
      <w:lvlText w:val="•"/>
      <w:lvlJc w:val="left"/>
      <w:pPr>
        <w:tabs>
          <w:tab w:val="num" w:pos="5760"/>
        </w:tabs>
        <w:ind w:left="5760" w:hanging="360"/>
      </w:pPr>
      <w:rPr>
        <w:rFonts w:ascii="新細明體" w:hAnsi="新細明體" w:hint="default"/>
      </w:rPr>
    </w:lvl>
    <w:lvl w:ilvl="8" w:tplc="BDD05900" w:tentative="1">
      <w:start w:val="1"/>
      <w:numFmt w:val="bullet"/>
      <w:lvlText w:val="•"/>
      <w:lvlJc w:val="left"/>
      <w:pPr>
        <w:tabs>
          <w:tab w:val="num" w:pos="6480"/>
        </w:tabs>
        <w:ind w:left="6480" w:hanging="360"/>
      </w:pPr>
      <w:rPr>
        <w:rFonts w:ascii="新細明體" w:hAnsi="新細明體"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D7"/>
    <w:rsid w:val="00042682"/>
    <w:rsid w:val="00083CD2"/>
    <w:rsid w:val="000864E0"/>
    <w:rsid w:val="00122AAB"/>
    <w:rsid w:val="00130901"/>
    <w:rsid w:val="001664C2"/>
    <w:rsid w:val="001841D7"/>
    <w:rsid w:val="001D4449"/>
    <w:rsid w:val="001D50C4"/>
    <w:rsid w:val="00306F4B"/>
    <w:rsid w:val="00337201"/>
    <w:rsid w:val="003671EC"/>
    <w:rsid w:val="003927FD"/>
    <w:rsid w:val="003D3A29"/>
    <w:rsid w:val="003E0F1C"/>
    <w:rsid w:val="00412E01"/>
    <w:rsid w:val="00453312"/>
    <w:rsid w:val="004701CC"/>
    <w:rsid w:val="006D39EC"/>
    <w:rsid w:val="006D566F"/>
    <w:rsid w:val="006F0B2D"/>
    <w:rsid w:val="007120B3"/>
    <w:rsid w:val="007F02BD"/>
    <w:rsid w:val="007F40CD"/>
    <w:rsid w:val="009415EF"/>
    <w:rsid w:val="00987C59"/>
    <w:rsid w:val="009F1082"/>
    <w:rsid w:val="00A779D3"/>
    <w:rsid w:val="00AD2CAA"/>
    <w:rsid w:val="00B33A43"/>
    <w:rsid w:val="00C06506"/>
    <w:rsid w:val="00DA582E"/>
    <w:rsid w:val="00E322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D8568"/>
  <w15:chartTrackingRefBased/>
  <w15:docId w15:val="{03D4272C-2B6D-4D41-A4CC-EF94F559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F4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F4B"/>
    <w:pPr>
      <w:tabs>
        <w:tab w:val="center" w:pos="4153"/>
        <w:tab w:val="right" w:pos="8306"/>
      </w:tabs>
      <w:snapToGrid w:val="0"/>
    </w:pPr>
    <w:rPr>
      <w:sz w:val="20"/>
      <w:szCs w:val="20"/>
    </w:rPr>
  </w:style>
  <w:style w:type="character" w:customStyle="1" w:styleId="a4">
    <w:name w:val="頁首 字元"/>
    <w:basedOn w:val="a0"/>
    <w:link w:val="a3"/>
    <w:uiPriority w:val="99"/>
    <w:rsid w:val="00306F4B"/>
    <w:rPr>
      <w:sz w:val="20"/>
      <w:szCs w:val="20"/>
    </w:rPr>
  </w:style>
  <w:style w:type="paragraph" w:styleId="a5">
    <w:name w:val="footer"/>
    <w:basedOn w:val="a"/>
    <w:link w:val="a6"/>
    <w:uiPriority w:val="99"/>
    <w:unhideWhenUsed/>
    <w:rsid w:val="00306F4B"/>
    <w:pPr>
      <w:tabs>
        <w:tab w:val="center" w:pos="4153"/>
        <w:tab w:val="right" w:pos="8306"/>
      </w:tabs>
      <w:snapToGrid w:val="0"/>
    </w:pPr>
    <w:rPr>
      <w:sz w:val="20"/>
      <w:szCs w:val="20"/>
    </w:rPr>
  </w:style>
  <w:style w:type="character" w:customStyle="1" w:styleId="a6">
    <w:name w:val="頁尾 字元"/>
    <w:basedOn w:val="a0"/>
    <w:link w:val="a5"/>
    <w:uiPriority w:val="99"/>
    <w:rsid w:val="00306F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林邑軒</dc:creator>
  <cp:keywords/>
  <dc:description/>
  <cp:lastModifiedBy>林邑軒</cp:lastModifiedBy>
  <cp:revision>23</cp:revision>
  <dcterms:created xsi:type="dcterms:W3CDTF">2018-07-23T06:24:00Z</dcterms:created>
  <dcterms:modified xsi:type="dcterms:W3CDTF">2018-07-23T07:04:00Z</dcterms:modified>
</cp:coreProperties>
</file>